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837E3" w14:textId="77777777" w:rsidR="00A14A96" w:rsidRPr="00902BBA" w:rsidRDefault="00A14A96" w:rsidP="00A14A96">
      <w:pPr>
        <w:jc w:val="center"/>
        <w:rPr>
          <w:rFonts w:asciiTheme="majorHAnsi" w:hAnsiTheme="majorHAnsi"/>
          <w:b/>
          <w:smallCaps/>
          <w:color w:val="000000"/>
          <w:kern w:val="40"/>
          <w:sz w:val="40"/>
          <w:szCs w:val="40"/>
        </w:rPr>
      </w:pPr>
      <w:r w:rsidRPr="00902BBA">
        <w:rPr>
          <w:rFonts w:asciiTheme="majorHAnsi" w:hAnsiTheme="majorHAnsi"/>
          <w:b/>
          <w:smallCaps/>
          <w:color w:val="000000"/>
          <w:kern w:val="40"/>
          <w:sz w:val="40"/>
          <w:szCs w:val="40"/>
        </w:rPr>
        <w:t>Indicators on Policy Coherence for Migration and Development</w:t>
      </w:r>
    </w:p>
    <w:p w14:paraId="1804DA35" w14:textId="200231CF" w:rsidR="00A14A96" w:rsidRPr="00902BBA" w:rsidRDefault="00A14A96" w:rsidP="00A14A96">
      <w:pPr>
        <w:jc w:val="center"/>
        <w:rPr>
          <w:rFonts w:asciiTheme="majorHAnsi" w:hAnsiTheme="majorHAnsi"/>
          <w:b/>
          <w:i/>
          <w:color w:val="000000"/>
          <w:sz w:val="24"/>
          <w:szCs w:val="24"/>
        </w:rPr>
      </w:pPr>
      <w:r>
        <w:rPr>
          <w:rFonts w:asciiTheme="majorHAnsi" w:hAnsiTheme="majorHAnsi"/>
          <w:b/>
          <w:i/>
          <w:color w:val="000000"/>
          <w:sz w:val="24"/>
          <w:szCs w:val="24"/>
        </w:rPr>
        <w:t>Countries of origin</w:t>
      </w:r>
    </w:p>
    <w:p w14:paraId="14E73648" w14:textId="77777777" w:rsidR="00863E6A" w:rsidRDefault="00863E6A" w:rsidP="00863E6A">
      <w:pPr>
        <w:jc w:val="center"/>
        <w:rPr>
          <w:rFonts w:asciiTheme="majorHAnsi" w:hAnsiTheme="majorHAnsi"/>
          <w:b/>
          <w:color w:val="000000"/>
          <w:sz w:val="32"/>
          <w:szCs w:val="32"/>
        </w:rPr>
      </w:pPr>
    </w:p>
    <w:p w14:paraId="051A2168" w14:textId="77777777" w:rsidR="00863E6A" w:rsidRDefault="00863E6A" w:rsidP="00863E6A">
      <w:pPr>
        <w:jc w:val="center"/>
        <w:rPr>
          <w:rFonts w:asciiTheme="majorHAnsi" w:hAnsiTheme="majorHAnsi"/>
          <w:b/>
          <w:color w:val="000000"/>
          <w:sz w:val="32"/>
          <w:szCs w:val="32"/>
        </w:rPr>
      </w:pPr>
    </w:p>
    <w:p w14:paraId="3AC2F779" w14:textId="155C65B9" w:rsidR="00FF0E34" w:rsidRDefault="00F2321E" w:rsidP="00863E6A">
      <w:pPr>
        <w:jc w:val="center"/>
        <w:rPr>
          <w:rFonts w:asciiTheme="majorHAnsi" w:hAnsiTheme="majorHAnsi"/>
          <w:b/>
          <w:color w:val="000000"/>
          <w:sz w:val="32"/>
          <w:szCs w:val="32"/>
        </w:rPr>
      </w:pPr>
      <w:r w:rsidRPr="00F2321E">
        <w:rPr>
          <w:rFonts w:asciiTheme="majorHAnsi" w:hAnsiTheme="majorHAnsi"/>
          <w:b/>
          <w:color w:val="000000"/>
          <w:sz w:val="32"/>
          <w:szCs w:val="32"/>
        </w:rPr>
        <w:t>Objective 1</w:t>
      </w:r>
      <w:r>
        <w:rPr>
          <w:rFonts w:asciiTheme="majorHAnsi" w:hAnsiTheme="majorHAnsi"/>
          <w:b/>
          <w:color w:val="000000"/>
          <w:sz w:val="32"/>
          <w:szCs w:val="32"/>
        </w:rPr>
        <w:t xml:space="preserve">: </w:t>
      </w:r>
      <w:r w:rsidR="0092015A">
        <w:rPr>
          <w:rFonts w:asciiTheme="majorHAnsi" w:hAnsiTheme="majorHAnsi"/>
          <w:b/>
          <w:color w:val="000000"/>
          <w:sz w:val="32"/>
          <w:szCs w:val="32"/>
        </w:rPr>
        <w:t>Promote institutional coherence for migration and development</w:t>
      </w:r>
    </w:p>
    <w:tbl>
      <w:tblPr>
        <w:tblW w:w="126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992"/>
        <w:gridCol w:w="9214"/>
      </w:tblGrid>
      <w:tr w:rsidR="00DF5B69" w:rsidRPr="000544A1" w14:paraId="10164278" w14:textId="77777777" w:rsidTr="00DF5B69">
        <w:trPr>
          <w:trHeight w:val="775"/>
        </w:trPr>
        <w:tc>
          <w:tcPr>
            <w:tcW w:w="1134" w:type="dxa"/>
            <w:shd w:val="clear" w:color="auto" w:fill="BDD6EE" w:themeFill="accent1" w:themeFillTint="66"/>
          </w:tcPr>
          <w:p w14:paraId="19D9E8B0" w14:textId="77777777" w:rsidR="00DF5B69" w:rsidRPr="000544A1" w:rsidRDefault="00DF5B69" w:rsidP="00FF0E34">
            <w:pPr>
              <w:pStyle w:val="Default"/>
              <w:rPr>
                <w:rFonts w:ascii="Calibri" w:eastAsia="Calibri" w:hAnsi="Calibri" w:cs="Times New Roman"/>
                <w:b/>
                <w:color w:val="auto"/>
                <w:kern w:val="1"/>
                <w:sz w:val="18"/>
                <w:szCs w:val="18"/>
                <w:lang w:val="en-GB" w:eastAsia="ar-SA"/>
              </w:rPr>
            </w:pPr>
            <w:r w:rsidRPr="000544A1">
              <w:rPr>
                <w:rFonts w:ascii="Calibri" w:eastAsia="Calibri" w:hAnsi="Calibri" w:cs="Times New Roman"/>
                <w:b/>
                <w:color w:val="auto"/>
                <w:kern w:val="1"/>
                <w:sz w:val="18"/>
                <w:szCs w:val="18"/>
                <w:lang w:val="en-GB" w:eastAsia="ar-SA"/>
              </w:rPr>
              <w:t xml:space="preserve">Indicator no. </w:t>
            </w:r>
          </w:p>
        </w:tc>
        <w:tc>
          <w:tcPr>
            <w:tcW w:w="1276" w:type="dxa"/>
            <w:shd w:val="clear" w:color="auto" w:fill="BDD6EE" w:themeFill="accent1" w:themeFillTint="66"/>
          </w:tcPr>
          <w:p w14:paraId="57C0794F" w14:textId="77777777" w:rsidR="00DF5B69" w:rsidRPr="000544A1" w:rsidRDefault="00DF5B69" w:rsidP="00FF0E34">
            <w:pPr>
              <w:pStyle w:val="Default"/>
              <w:rPr>
                <w:rFonts w:ascii="Calibri" w:eastAsia="Calibri" w:hAnsi="Calibri" w:cs="Times New Roman"/>
                <w:b/>
                <w:color w:val="auto"/>
                <w:kern w:val="1"/>
                <w:sz w:val="18"/>
                <w:szCs w:val="18"/>
                <w:lang w:val="en-GB" w:eastAsia="ar-SA"/>
              </w:rPr>
            </w:pPr>
            <w:r w:rsidRPr="000544A1">
              <w:rPr>
                <w:rFonts w:ascii="Calibri" w:eastAsia="Calibri" w:hAnsi="Calibri" w:cs="Times New Roman"/>
                <w:b/>
                <w:color w:val="auto"/>
                <w:kern w:val="1"/>
                <w:sz w:val="18"/>
                <w:szCs w:val="18"/>
                <w:lang w:val="en-GB" w:eastAsia="ar-SA"/>
              </w:rPr>
              <w:t>Indicator description</w:t>
            </w:r>
          </w:p>
        </w:tc>
        <w:tc>
          <w:tcPr>
            <w:tcW w:w="992" w:type="dxa"/>
            <w:shd w:val="clear" w:color="auto" w:fill="BDD6EE" w:themeFill="accent1" w:themeFillTint="66"/>
          </w:tcPr>
          <w:p w14:paraId="0DFAAF95" w14:textId="77777777" w:rsidR="00DF5B69" w:rsidRPr="000544A1" w:rsidRDefault="00DF5B69" w:rsidP="00FF0E34">
            <w:pPr>
              <w:pStyle w:val="Default"/>
              <w:rPr>
                <w:rFonts w:ascii="Calibri" w:eastAsia="Calibri" w:hAnsi="Calibri" w:cs="Times New Roman"/>
                <w:b/>
                <w:color w:val="auto"/>
                <w:kern w:val="1"/>
                <w:sz w:val="18"/>
                <w:szCs w:val="18"/>
                <w:lang w:val="en-GB" w:eastAsia="ar-SA"/>
              </w:rPr>
            </w:pPr>
            <w:r w:rsidRPr="000544A1">
              <w:rPr>
                <w:rFonts w:ascii="Calibri" w:eastAsia="Calibri" w:hAnsi="Calibri" w:cs="Times New Roman"/>
                <w:b/>
                <w:color w:val="auto"/>
                <w:kern w:val="1"/>
                <w:sz w:val="18"/>
                <w:szCs w:val="18"/>
                <w:lang w:val="en-GB" w:eastAsia="ar-SA"/>
              </w:rPr>
              <w:t>Indicator Type</w:t>
            </w:r>
          </w:p>
        </w:tc>
        <w:tc>
          <w:tcPr>
            <w:tcW w:w="9214" w:type="dxa"/>
            <w:shd w:val="clear" w:color="auto" w:fill="BDD6EE" w:themeFill="accent1" w:themeFillTint="66"/>
          </w:tcPr>
          <w:p w14:paraId="652E9F79" w14:textId="77777777" w:rsidR="00DF5B69" w:rsidRPr="000544A1" w:rsidRDefault="00DF5B69" w:rsidP="00FF0E34">
            <w:pPr>
              <w:pStyle w:val="Default"/>
              <w:rPr>
                <w:rFonts w:ascii="Calibri" w:eastAsia="Calibri" w:hAnsi="Calibri" w:cs="Times New Roman"/>
                <w:b/>
                <w:color w:val="auto"/>
                <w:kern w:val="1"/>
                <w:sz w:val="18"/>
                <w:szCs w:val="18"/>
                <w:lang w:val="en-GB" w:eastAsia="ar-SA"/>
              </w:rPr>
            </w:pPr>
            <w:r w:rsidRPr="000544A1">
              <w:rPr>
                <w:rFonts w:ascii="Calibri" w:eastAsia="Calibri" w:hAnsi="Calibri" w:cs="Times New Roman"/>
                <w:b/>
                <w:color w:val="auto"/>
                <w:kern w:val="1"/>
                <w:sz w:val="18"/>
                <w:szCs w:val="18"/>
                <w:lang w:val="en-GB" w:eastAsia="ar-SA"/>
              </w:rPr>
              <w:t xml:space="preserve">Indicator Measurement </w:t>
            </w:r>
          </w:p>
        </w:tc>
      </w:tr>
      <w:tr w:rsidR="00DF5B69" w:rsidRPr="000544A1" w14:paraId="47C04855" w14:textId="77777777" w:rsidTr="00DF5B69">
        <w:trPr>
          <w:trHeight w:val="587"/>
        </w:trPr>
        <w:tc>
          <w:tcPr>
            <w:tcW w:w="1134" w:type="dxa"/>
          </w:tcPr>
          <w:p w14:paraId="4100B5CF" w14:textId="75ACB61C"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 xml:space="preserve"> 1.1</w:t>
            </w:r>
          </w:p>
        </w:tc>
        <w:tc>
          <w:tcPr>
            <w:tcW w:w="1276" w:type="dxa"/>
          </w:tcPr>
          <w:p w14:paraId="534B933A"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Political commitment</w:t>
            </w:r>
          </w:p>
        </w:tc>
        <w:tc>
          <w:tcPr>
            <w:tcW w:w="992" w:type="dxa"/>
          </w:tcPr>
          <w:p w14:paraId="155BE76C"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Input</w:t>
            </w:r>
          </w:p>
        </w:tc>
        <w:tc>
          <w:tcPr>
            <w:tcW w:w="9214" w:type="dxa"/>
          </w:tcPr>
          <w:p w14:paraId="01C9DB6D"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Development is taken into account as a relevant factor in the current migration plan/strategy of the government. </w:t>
            </w:r>
          </w:p>
          <w:p w14:paraId="37F39920" w14:textId="77777777" w:rsidR="00DF5B69" w:rsidRPr="000544A1" w:rsidRDefault="00DF5B69" w:rsidP="00FF0E34">
            <w:pPr>
              <w:pStyle w:val="Default"/>
              <w:rPr>
                <w:rFonts w:asciiTheme="majorHAnsi" w:hAnsiTheme="majorHAnsi"/>
                <w:sz w:val="18"/>
                <w:szCs w:val="18"/>
                <w:lang w:val="en-GB"/>
              </w:rPr>
            </w:pPr>
          </w:p>
          <w:p w14:paraId="7863DC43" w14:textId="0DD16F49"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27966968" w14:textId="47416050" w:rsidR="00DF5B69" w:rsidRPr="000544A1" w:rsidRDefault="00DF5B69" w:rsidP="001B1ACC">
            <w:pPr>
              <w:pStyle w:val="Default"/>
              <w:rPr>
                <w:rFonts w:asciiTheme="majorHAnsi" w:hAnsiTheme="majorHAnsi"/>
                <w:sz w:val="18"/>
                <w:szCs w:val="18"/>
                <w:lang w:val="en-GB"/>
              </w:rPr>
            </w:pPr>
            <w:r w:rsidRPr="000544A1">
              <w:rPr>
                <w:rFonts w:asciiTheme="majorHAnsi" w:hAnsiTheme="majorHAnsi"/>
                <w:sz w:val="18"/>
                <w:szCs w:val="18"/>
                <w:lang w:val="en-GB"/>
              </w:rPr>
              <w:t xml:space="preserve">10 = development </w:t>
            </w:r>
            <w:r>
              <w:rPr>
                <w:rFonts w:asciiTheme="majorHAnsi" w:hAnsiTheme="majorHAnsi"/>
                <w:sz w:val="18"/>
                <w:szCs w:val="18"/>
                <w:lang w:val="en-GB"/>
              </w:rPr>
              <w:t xml:space="preserve">objectives considered </w:t>
            </w:r>
            <w:r w:rsidRPr="000544A1">
              <w:rPr>
                <w:rFonts w:asciiTheme="majorHAnsi" w:hAnsiTheme="majorHAnsi"/>
                <w:sz w:val="18"/>
                <w:szCs w:val="18"/>
                <w:lang w:val="en-GB"/>
              </w:rPr>
              <w:t>in migration plan/strategy</w:t>
            </w:r>
          </w:p>
        </w:tc>
      </w:tr>
      <w:tr w:rsidR="00DF5B69" w:rsidRPr="000544A1" w14:paraId="20A93999" w14:textId="77777777" w:rsidTr="00DF5B69">
        <w:trPr>
          <w:trHeight w:val="587"/>
        </w:trPr>
        <w:tc>
          <w:tcPr>
            <w:tcW w:w="1134" w:type="dxa"/>
          </w:tcPr>
          <w:p w14:paraId="36A3AEE9" w14:textId="7DD34E6C"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 xml:space="preserve">1.2 </w:t>
            </w:r>
          </w:p>
        </w:tc>
        <w:tc>
          <w:tcPr>
            <w:tcW w:w="1276" w:type="dxa"/>
          </w:tcPr>
          <w:p w14:paraId="4079E5CE"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Political commitment</w:t>
            </w:r>
          </w:p>
        </w:tc>
        <w:tc>
          <w:tcPr>
            <w:tcW w:w="992" w:type="dxa"/>
          </w:tcPr>
          <w:p w14:paraId="1F71DC6A"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Input</w:t>
            </w:r>
          </w:p>
        </w:tc>
        <w:tc>
          <w:tcPr>
            <w:tcW w:w="9214" w:type="dxa"/>
          </w:tcPr>
          <w:p w14:paraId="6E219A68" w14:textId="39D66722"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Migration is taken into account as a relevant factor in the </w:t>
            </w:r>
            <w:r>
              <w:rPr>
                <w:rFonts w:asciiTheme="majorHAnsi" w:hAnsiTheme="majorHAnsi"/>
                <w:sz w:val="18"/>
                <w:szCs w:val="18"/>
                <w:lang w:val="en-GB"/>
              </w:rPr>
              <w:t xml:space="preserve">internal </w:t>
            </w:r>
            <w:r w:rsidRPr="000544A1">
              <w:rPr>
                <w:rFonts w:asciiTheme="majorHAnsi" w:hAnsiTheme="majorHAnsi"/>
                <w:sz w:val="18"/>
                <w:szCs w:val="18"/>
                <w:lang w:val="en-GB"/>
              </w:rPr>
              <w:t>development plan/strategy of the government</w:t>
            </w:r>
            <w:r>
              <w:rPr>
                <w:rFonts w:asciiTheme="majorHAnsi" w:hAnsiTheme="majorHAnsi"/>
                <w:sz w:val="18"/>
                <w:szCs w:val="18"/>
                <w:lang w:val="en-GB"/>
              </w:rPr>
              <w:t xml:space="preserve"> (e.g. country’s industrial development)</w:t>
            </w:r>
            <w:r w:rsidRPr="000544A1">
              <w:rPr>
                <w:rFonts w:asciiTheme="majorHAnsi" w:hAnsiTheme="majorHAnsi"/>
                <w:sz w:val="18"/>
                <w:szCs w:val="18"/>
                <w:lang w:val="en-GB"/>
              </w:rPr>
              <w:t>.</w:t>
            </w:r>
          </w:p>
          <w:p w14:paraId="1A2D8810" w14:textId="77777777" w:rsidR="00DF5B69" w:rsidRPr="000544A1" w:rsidRDefault="00DF5B69" w:rsidP="00FF0E34">
            <w:pPr>
              <w:pStyle w:val="Default"/>
              <w:rPr>
                <w:rFonts w:asciiTheme="majorHAnsi" w:hAnsiTheme="majorHAnsi"/>
                <w:sz w:val="18"/>
                <w:szCs w:val="18"/>
                <w:lang w:val="en-GB"/>
              </w:rPr>
            </w:pPr>
          </w:p>
          <w:p w14:paraId="5043C7A0" w14:textId="36A7024F"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75578ECC" w14:textId="401072C8"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5 = migration mentioned in </w:t>
            </w:r>
            <w:r>
              <w:rPr>
                <w:rFonts w:asciiTheme="majorHAnsi" w:hAnsiTheme="majorHAnsi"/>
                <w:sz w:val="18"/>
                <w:szCs w:val="18"/>
                <w:lang w:val="en-GB"/>
              </w:rPr>
              <w:t xml:space="preserve">internal </w:t>
            </w:r>
            <w:r w:rsidRPr="000544A1">
              <w:rPr>
                <w:rFonts w:asciiTheme="majorHAnsi" w:hAnsiTheme="majorHAnsi"/>
                <w:sz w:val="18"/>
                <w:szCs w:val="18"/>
                <w:lang w:val="en-GB"/>
              </w:rPr>
              <w:t>development  plan/strategy</w:t>
            </w:r>
          </w:p>
          <w:p w14:paraId="3B0E2C35" w14:textId="279C0A54" w:rsidR="00DF5B69" w:rsidRPr="000544A1" w:rsidRDefault="00DF5B69" w:rsidP="001B1ACC">
            <w:pPr>
              <w:pStyle w:val="Default"/>
              <w:rPr>
                <w:rFonts w:asciiTheme="majorHAnsi" w:hAnsiTheme="majorHAnsi"/>
                <w:sz w:val="18"/>
                <w:szCs w:val="18"/>
                <w:lang w:val="en-GB"/>
              </w:rPr>
            </w:pPr>
            <w:r w:rsidRPr="000544A1">
              <w:rPr>
                <w:rFonts w:asciiTheme="majorHAnsi" w:hAnsiTheme="majorHAnsi"/>
                <w:sz w:val="18"/>
                <w:szCs w:val="18"/>
                <w:lang w:val="en-GB"/>
              </w:rPr>
              <w:t xml:space="preserve">10 = migration defined as priority or strategic area in </w:t>
            </w:r>
            <w:r>
              <w:rPr>
                <w:rFonts w:asciiTheme="majorHAnsi" w:hAnsiTheme="majorHAnsi"/>
                <w:sz w:val="18"/>
                <w:szCs w:val="18"/>
                <w:lang w:val="en-GB"/>
              </w:rPr>
              <w:t xml:space="preserve">internal </w:t>
            </w:r>
            <w:r w:rsidRPr="000544A1">
              <w:rPr>
                <w:rFonts w:asciiTheme="majorHAnsi" w:hAnsiTheme="majorHAnsi"/>
                <w:sz w:val="18"/>
                <w:szCs w:val="18"/>
                <w:lang w:val="en-GB"/>
              </w:rPr>
              <w:t>development plan/strategy</w:t>
            </w:r>
          </w:p>
        </w:tc>
      </w:tr>
    </w:tbl>
    <w:p w14:paraId="17137767" w14:textId="0C68DC70" w:rsidR="00FF0E34" w:rsidRDefault="00FF0E34" w:rsidP="00FF0E34"/>
    <w:tbl>
      <w:tblPr>
        <w:tblW w:w="126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992"/>
        <w:gridCol w:w="9214"/>
      </w:tblGrid>
      <w:tr w:rsidR="00DF5B69" w:rsidRPr="000544A1" w14:paraId="4C0D9EF2" w14:textId="77777777" w:rsidTr="00DF5B69">
        <w:trPr>
          <w:trHeight w:val="587"/>
        </w:trPr>
        <w:tc>
          <w:tcPr>
            <w:tcW w:w="1134" w:type="dxa"/>
          </w:tcPr>
          <w:p w14:paraId="4BE5CE44" w14:textId="77777777" w:rsidR="00DF5B69" w:rsidRDefault="00DF5B69" w:rsidP="004367F4">
            <w:pPr>
              <w:pStyle w:val="Titlu1"/>
              <w:suppressAutoHyphens w:val="0"/>
              <w:spacing w:before="0"/>
              <w:jc w:val="left"/>
              <w:rPr>
                <w:b w:val="0"/>
                <w:color w:val="auto"/>
                <w:sz w:val="18"/>
                <w:szCs w:val="18"/>
              </w:rPr>
            </w:pPr>
            <w:r>
              <w:rPr>
                <w:b w:val="0"/>
                <w:color w:val="auto"/>
                <w:sz w:val="18"/>
                <w:szCs w:val="18"/>
              </w:rPr>
              <w:lastRenderedPageBreak/>
              <w:t>1.3</w:t>
            </w:r>
          </w:p>
          <w:p w14:paraId="78803A1C" w14:textId="77777777" w:rsidR="004367F4" w:rsidRDefault="004367F4" w:rsidP="004367F4">
            <w:pPr>
              <w:spacing w:after="0"/>
              <w:rPr>
                <w:i/>
                <w:color w:val="FF0000"/>
                <w:sz w:val="18"/>
                <w:szCs w:val="18"/>
              </w:rPr>
            </w:pPr>
          </w:p>
          <w:p w14:paraId="61A7A0C8" w14:textId="4A26F2F9" w:rsidR="004367F4" w:rsidRPr="004367F4" w:rsidRDefault="004367F4" w:rsidP="004367F4">
            <w:pPr>
              <w:spacing w:after="0"/>
            </w:pPr>
            <w:r w:rsidRPr="00D425C8">
              <w:rPr>
                <w:i/>
                <w:color w:val="FF0000"/>
                <w:sz w:val="18"/>
                <w:szCs w:val="18"/>
              </w:rPr>
              <w:t xml:space="preserve">(only applicable to </w:t>
            </w:r>
            <w:r>
              <w:rPr>
                <w:i/>
                <w:color w:val="FF0000"/>
                <w:sz w:val="18"/>
                <w:szCs w:val="18"/>
              </w:rPr>
              <w:t>donors</w:t>
            </w:r>
            <w:r w:rsidRPr="00D425C8">
              <w:rPr>
                <w:i/>
                <w:color w:val="FF0000"/>
                <w:sz w:val="18"/>
                <w:szCs w:val="18"/>
              </w:rPr>
              <w:t xml:space="preserve"> of ODA)</w:t>
            </w:r>
          </w:p>
        </w:tc>
        <w:tc>
          <w:tcPr>
            <w:tcW w:w="1276" w:type="dxa"/>
          </w:tcPr>
          <w:p w14:paraId="76CFFE2E" w14:textId="7A0984D6" w:rsidR="00DF5B69" w:rsidRDefault="00DF5B69" w:rsidP="00FF0E34">
            <w:pPr>
              <w:pStyle w:val="Default"/>
              <w:rPr>
                <w:rFonts w:asciiTheme="majorHAnsi" w:hAnsiTheme="majorHAnsi"/>
                <w:sz w:val="18"/>
                <w:szCs w:val="18"/>
                <w:lang w:val="en-GB"/>
              </w:rPr>
            </w:pPr>
            <w:r>
              <w:rPr>
                <w:rFonts w:asciiTheme="majorHAnsi" w:hAnsiTheme="majorHAnsi"/>
                <w:sz w:val="18"/>
                <w:szCs w:val="18"/>
                <w:lang w:val="en-GB"/>
              </w:rPr>
              <w:t>Political commitment</w:t>
            </w:r>
          </w:p>
        </w:tc>
        <w:tc>
          <w:tcPr>
            <w:tcW w:w="992" w:type="dxa"/>
          </w:tcPr>
          <w:p w14:paraId="24572FA3" w14:textId="1F055C95"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7C4498CE" w14:textId="77777777" w:rsidR="00DF5B69" w:rsidRDefault="00DF5B69" w:rsidP="00B26D7D">
            <w:pPr>
              <w:pStyle w:val="Default"/>
              <w:rPr>
                <w:rFonts w:asciiTheme="majorHAnsi" w:hAnsiTheme="majorHAnsi"/>
                <w:sz w:val="18"/>
                <w:szCs w:val="18"/>
                <w:lang w:val="en-GB"/>
              </w:rPr>
            </w:pPr>
            <w:r>
              <w:rPr>
                <w:rFonts w:asciiTheme="majorHAnsi" w:hAnsiTheme="majorHAnsi"/>
                <w:sz w:val="18"/>
                <w:szCs w:val="18"/>
                <w:lang w:val="en-GB"/>
              </w:rPr>
              <w:t>ODA donor countries take into account migration as a relevant factor in the external development (co-operation) plan/strategy of the government.</w:t>
            </w:r>
          </w:p>
          <w:p w14:paraId="1C569EEF" w14:textId="77777777" w:rsidR="00DF5B69" w:rsidRDefault="00DF5B69" w:rsidP="00B26D7D">
            <w:pPr>
              <w:pStyle w:val="Default"/>
              <w:rPr>
                <w:rFonts w:asciiTheme="majorHAnsi" w:hAnsiTheme="majorHAnsi"/>
                <w:sz w:val="18"/>
                <w:szCs w:val="18"/>
                <w:lang w:val="en-GB"/>
              </w:rPr>
            </w:pPr>
          </w:p>
          <w:p w14:paraId="2A2D5C55" w14:textId="6A424831" w:rsidR="00DF5B69" w:rsidRDefault="00DF5B69" w:rsidP="00B26D7D">
            <w:pPr>
              <w:pStyle w:val="Default"/>
              <w:rPr>
                <w:rFonts w:asciiTheme="majorHAnsi" w:hAnsiTheme="majorHAnsi"/>
                <w:sz w:val="18"/>
                <w:szCs w:val="18"/>
                <w:lang w:val="en-GB"/>
              </w:rPr>
            </w:pPr>
            <w:r>
              <w:rPr>
                <w:rFonts w:asciiTheme="majorHAnsi" w:hAnsiTheme="majorHAnsi"/>
                <w:sz w:val="18"/>
                <w:szCs w:val="18"/>
                <w:lang w:val="en-GB"/>
              </w:rPr>
              <w:t>0 = no</w:t>
            </w:r>
          </w:p>
          <w:p w14:paraId="78EC7445" w14:textId="0BD881F4" w:rsidR="00DF5B69" w:rsidRDefault="00DF5B69" w:rsidP="00B26D7D">
            <w:pPr>
              <w:pStyle w:val="Default"/>
              <w:rPr>
                <w:rFonts w:asciiTheme="majorHAnsi" w:hAnsiTheme="majorHAnsi"/>
                <w:sz w:val="18"/>
                <w:szCs w:val="18"/>
                <w:lang w:val="en-GB"/>
              </w:rPr>
            </w:pPr>
            <w:r>
              <w:rPr>
                <w:rFonts w:asciiTheme="majorHAnsi" w:hAnsiTheme="majorHAnsi"/>
                <w:sz w:val="18"/>
                <w:szCs w:val="18"/>
                <w:lang w:val="en-GB"/>
              </w:rPr>
              <w:t>5 = migration mentioned in external development (co-operation) plan/strategy</w:t>
            </w:r>
          </w:p>
          <w:p w14:paraId="3FCB3C88" w14:textId="2037FC1E" w:rsidR="00DF5B69" w:rsidRPr="000544A1" w:rsidRDefault="00DF5B69" w:rsidP="00B26D7D">
            <w:pPr>
              <w:pStyle w:val="Default"/>
              <w:rPr>
                <w:rFonts w:asciiTheme="majorHAnsi" w:hAnsiTheme="majorHAnsi"/>
                <w:sz w:val="18"/>
                <w:szCs w:val="18"/>
                <w:lang w:val="en-GB"/>
              </w:rPr>
            </w:pPr>
            <w:r>
              <w:rPr>
                <w:rFonts w:asciiTheme="majorHAnsi" w:hAnsiTheme="majorHAnsi"/>
                <w:sz w:val="18"/>
                <w:szCs w:val="18"/>
                <w:lang w:val="en-GB"/>
              </w:rPr>
              <w:t>10 = migration defined as priority or strategic area in external development (co-operation) plan/strategy</w:t>
            </w:r>
          </w:p>
        </w:tc>
      </w:tr>
      <w:tr w:rsidR="00DF5B69" w:rsidRPr="000544A1" w14:paraId="1F804BE1" w14:textId="77777777" w:rsidTr="00DF5B69">
        <w:trPr>
          <w:trHeight w:val="587"/>
        </w:trPr>
        <w:tc>
          <w:tcPr>
            <w:tcW w:w="1134" w:type="dxa"/>
          </w:tcPr>
          <w:p w14:paraId="60D87592" w14:textId="7DEEF313"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1.4</w:t>
            </w:r>
          </w:p>
        </w:tc>
        <w:tc>
          <w:tcPr>
            <w:tcW w:w="1276" w:type="dxa"/>
          </w:tcPr>
          <w:p w14:paraId="6B2342FE"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Political commitment</w:t>
            </w:r>
          </w:p>
        </w:tc>
        <w:tc>
          <w:tcPr>
            <w:tcW w:w="992" w:type="dxa"/>
          </w:tcPr>
          <w:p w14:paraId="42CE0C20"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Input</w:t>
            </w:r>
          </w:p>
        </w:tc>
        <w:tc>
          <w:tcPr>
            <w:tcW w:w="9214" w:type="dxa"/>
          </w:tcPr>
          <w:p w14:paraId="75B3F938" w14:textId="304052F9"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In the </w:t>
            </w:r>
            <w:r w:rsidR="00C06C14">
              <w:rPr>
                <w:rFonts w:asciiTheme="majorHAnsi" w:hAnsiTheme="majorHAnsi"/>
                <w:sz w:val="18"/>
                <w:szCs w:val="18"/>
                <w:lang w:val="en-GB"/>
              </w:rPr>
              <w:t xml:space="preserve">last </w:t>
            </w:r>
            <w:r w:rsidR="009B5956">
              <w:rPr>
                <w:rFonts w:asciiTheme="majorHAnsi" w:hAnsiTheme="majorHAnsi"/>
                <w:sz w:val="18"/>
                <w:szCs w:val="18"/>
                <w:lang w:val="en-GB"/>
              </w:rPr>
              <w:t>two years</w:t>
            </w:r>
            <w:r w:rsidRPr="000544A1">
              <w:rPr>
                <w:rFonts w:asciiTheme="majorHAnsi" w:hAnsiTheme="majorHAnsi"/>
                <w:sz w:val="18"/>
                <w:szCs w:val="18"/>
                <w:lang w:val="en-GB"/>
              </w:rPr>
              <w:t>, the government has participated in regional or international fora</w:t>
            </w:r>
            <w:r w:rsidR="00564F0E">
              <w:rPr>
                <w:rStyle w:val="Referinnotdesubsol"/>
                <w:rFonts w:asciiTheme="majorHAnsi" w:hAnsiTheme="majorHAnsi"/>
                <w:sz w:val="18"/>
                <w:szCs w:val="18"/>
                <w:lang w:val="en-GB"/>
              </w:rPr>
              <w:footnoteReference w:id="1"/>
            </w:r>
            <w:r w:rsidRPr="000544A1">
              <w:rPr>
                <w:rFonts w:asciiTheme="majorHAnsi" w:hAnsiTheme="majorHAnsi"/>
                <w:sz w:val="18"/>
                <w:szCs w:val="18"/>
                <w:lang w:val="en-GB"/>
              </w:rPr>
              <w:t xml:space="preserve"> on migration and development. </w:t>
            </w:r>
          </w:p>
          <w:p w14:paraId="146CD222" w14:textId="77777777" w:rsidR="00DF5B69" w:rsidRPr="000544A1" w:rsidRDefault="00DF5B69" w:rsidP="00FF0E34">
            <w:pPr>
              <w:pStyle w:val="Default"/>
              <w:rPr>
                <w:rFonts w:asciiTheme="majorHAnsi" w:hAnsiTheme="majorHAnsi"/>
                <w:sz w:val="18"/>
                <w:szCs w:val="18"/>
                <w:lang w:val="en-GB"/>
              </w:rPr>
            </w:pPr>
          </w:p>
          <w:p w14:paraId="2DC60E56"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 participation</w:t>
            </w:r>
          </w:p>
          <w:p w14:paraId="2220C49F" w14:textId="576F26A5" w:rsidR="00DF5B69" w:rsidRPr="000544A1" w:rsidRDefault="004925FF" w:rsidP="00FF0E34">
            <w:pPr>
              <w:pStyle w:val="Default"/>
              <w:rPr>
                <w:rFonts w:asciiTheme="majorHAnsi" w:hAnsiTheme="majorHAnsi"/>
                <w:sz w:val="18"/>
                <w:szCs w:val="18"/>
                <w:lang w:val="en-GB"/>
              </w:rPr>
            </w:pPr>
            <w:r>
              <w:rPr>
                <w:rFonts w:asciiTheme="majorHAnsi" w:hAnsiTheme="majorHAnsi"/>
                <w:sz w:val="18"/>
                <w:szCs w:val="18"/>
                <w:lang w:val="en-GB"/>
              </w:rPr>
              <w:t>5 = one to three for</w:t>
            </w:r>
            <w:r w:rsidR="00DF5B69" w:rsidRPr="000544A1">
              <w:rPr>
                <w:rFonts w:asciiTheme="majorHAnsi" w:hAnsiTheme="majorHAnsi"/>
                <w:sz w:val="18"/>
                <w:szCs w:val="18"/>
                <w:lang w:val="en-GB"/>
              </w:rPr>
              <w:t>a</w:t>
            </w:r>
          </w:p>
          <w:p w14:paraId="5E23D742"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four fora or more</w:t>
            </w:r>
          </w:p>
        </w:tc>
      </w:tr>
      <w:tr w:rsidR="00DF5B69" w:rsidRPr="000544A1" w14:paraId="148E12A2" w14:textId="77777777" w:rsidTr="00DF5B69">
        <w:trPr>
          <w:trHeight w:val="587"/>
        </w:trPr>
        <w:tc>
          <w:tcPr>
            <w:tcW w:w="1134" w:type="dxa"/>
          </w:tcPr>
          <w:p w14:paraId="17EBB7A1" w14:textId="5E12BFC0" w:rsidR="00DF5B69" w:rsidRPr="000544A1" w:rsidRDefault="00DF5B69" w:rsidP="00B26D7D">
            <w:pPr>
              <w:pStyle w:val="Titlu1"/>
              <w:suppressAutoHyphens w:val="0"/>
              <w:spacing w:before="0" w:line="240" w:lineRule="auto"/>
              <w:jc w:val="left"/>
              <w:rPr>
                <w:b w:val="0"/>
                <w:color w:val="auto"/>
                <w:sz w:val="18"/>
                <w:szCs w:val="18"/>
              </w:rPr>
            </w:pPr>
            <w:r>
              <w:rPr>
                <w:b w:val="0"/>
                <w:color w:val="auto"/>
                <w:sz w:val="18"/>
                <w:szCs w:val="18"/>
              </w:rPr>
              <w:t>1.5</w:t>
            </w:r>
          </w:p>
        </w:tc>
        <w:tc>
          <w:tcPr>
            <w:tcW w:w="1276" w:type="dxa"/>
          </w:tcPr>
          <w:p w14:paraId="48F05A81"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Political commitment</w:t>
            </w:r>
          </w:p>
        </w:tc>
        <w:tc>
          <w:tcPr>
            <w:tcW w:w="992" w:type="dxa"/>
          </w:tcPr>
          <w:p w14:paraId="47CCD77C"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Input</w:t>
            </w:r>
          </w:p>
        </w:tc>
        <w:tc>
          <w:tcPr>
            <w:tcW w:w="9214" w:type="dxa"/>
          </w:tcPr>
          <w:p w14:paraId="18739AF9"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The government has ratified the 1949 Migration for Employment Convention (no. 97) - ILO. </w:t>
            </w:r>
          </w:p>
          <w:p w14:paraId="260CFDA7" w14:textId="77777777" w:rsidR="00DF5B69" w:rsidRPr="000544A1" w:rsidRDefault="00DF5B69" w:rsidP="00FF0E34">
            <w:pPr>
              <w:pStyle w:val="Default"/>
              <w:rPr>
                <w:rFonts w:asciiTheme="majorHAnsi" w:hAnsiTheme="majorHAnsi"/>
                <w:sz w:val="18"/>
                <w:szCs w:val="18"/>
                <w:lang w:val="en-GB"/>
              </w:rPr>
            </w:pPr>
          </w:p>
          <w:p w14:paraId="5B6BB62D"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4E38B344"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convention ratified</w:t>
            </w:r>
          </w:p>
          <w:p w14:paraId="70420627"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convention has been ratified and transposed into national law</w:t>
            </w:r>
          </w:p>
        </w:tc>
      </w:tr>
      <w:tr w:rsidR="00DF5B69" w:rsidRPr="000544A1" w14:paraId="565BE183" w14:textId="77777777" w:rsidTr="00DF5B69">
        <w:trPr>
          <w:trHeight w:val="587"/>
        </w:trPr>
        <w:tc>
          <w:tcPr>
            <w:tcW w:w="1134" w:type="dxa"/>
          </w:tcPr>
          <w:p w14:paraId="296D8C7F" w14:textId="2FAA70F5"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1.6</w:t>
            </w:r>
          </w:p>
        </w:tc>
        <w:tc>
          <w:tcPr>
            <w:tcW w:w="1276" w:type="dxa"/>
          </w:tcPr>
          <w:p w14:paraId="6AB3AE17"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Political commitment</w:t>
            </w:r>
          </w:p>
        </w:tc>
        <w:tc>
          <w:tcPr>
            <w:tcW w:w="992" w:type="dxa"/>
          </w:tcPr>
          <w:p w14:paraId="0A2A8CEA"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1D6C9758"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The government has ratified the 1975 Migration Workers Convention (no. 143) - ILO. </w:t>
            </w:r>
          </w:p>
          <w:p w14:paraId="69F6D67F" w14:textId="77777777" w:rsidR="00DF5B69" w:rsidRPr="000544A1" w:rsidRDefault="00DF5B69" w:rsidP="00FF0E34">
            <w:pPr>
              <w:pStyle w:val="Default"/>
              <w:rPr>
                <w:rFonts w:asciiTheme="majorHAnsi" w:hAnsiTheme="majorHAnsi"/>
                <w:sz w:val="18"/>
                <w:szCs w:val="18"/>
                <w:lang w:val="en-GB"/>
              </w:rPr>
            </w:pPr>
          </w:p>
          <w:p w14:paraId="3D8FA393"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4A830549"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convention ratified</w:t>
            </w:r>
          </w:p>
          <w:p w14:paraId="1F6E94EB"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convention has been ratified and transposed into national law</w:t>
            </w:r>
          </w:p>
        </w:tc>
      </w:tr>
      <w:tr w:rsidR="00DF5B69" w:rsidRPr="000544A1" w14:paraId="38EEB028" w14:textId="77777777" w:rsidTr="00DF5B69">
        <w:trPr>
          <w:trHeight w:val="587"/>
        </w:trPr>
        <w:tc>
          <w:tcPr>
            <w:tcW w:w="1134" w:type="dxa"/>
          </w:tcPr>
          <w:p w14:paraId="1DE73309" w14:textId="38BC3FCB" w:rsidR="00DF5B69" w:rsidRPr="000544A1" w:rsidRDefault="00DF5B69" w:rsidP="00B26D7D">
            <w:pPr>
              <w:pStyle w:val="Titlu1"/>
              <w:suppressAutoHyphens w:val="0"/>
              <w:spacing w:before="0" w:line="240" w:lineRule="auto"/>
              <w:jc w:val="left"/>
              <w:rPr>
                <w:b w:val="0"/>
                <w:color w:val="auto"/>
                <w:sz w:val="18"/>
                <w:szCs w:val="18"/>
              </w:rPr>
            </w:pPr>
            <w:r>
              <w:rPr>
                <w:b w:val="0"/>
                <w:color w:val="auto"/>
                <w:sz w:val="18"/>
                <w:szCs w:val="18"/>
              </w:rPr>
              <w:t xml:space="preserve">1.7 </w:t>
            </w:r>
          </w:p>
        </w:tc>
        <w:tc>
          <w:tcPr>
            <w:tcW w:w="1276" w:type="dxa"/>
          </w:tcPr>
          <w:p w14:paraId="499DAEF2"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Political commitment</w:t>
            </w:r>
          </w:p>
        </w:tc>
        <w:tc>
          <w:tcPr>
            <w:tcW w:w="992" w:type="dxa"/>
          </w:tcPr>
          <w:p w14:paraId="414D491D"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4CFAB726"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The government has ratified the 1990 UN International Convention on the Protection of the Rights of All Migrant Workers and Members of Their Families. </w:t>
            </w:r>
          </w:p>
          <w:p w14:paraId="49510FEF"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 </w:t>
            </w:r>
          </w:p>
          <w:p w14:paraId="45DD2994"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5090DFDE"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convention ratified</w:t>
            </w:r>
          </w:p>
          <w:p w14:paraId="60E91DF7"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convention has been ratified and transposed into national law</w:t>
            </w:r>
          </w:p>
        </w:tc>
      </w:tr>
      <w:tr w:rsidR="00DF5B69" w:rsidRPr="000544A1" w14:paraId="1CF0DF7F" w14:textId="77777777" w:rsidTr="00DF5B69">
        <w:trPr>
          <w:trHeight w:val="587"/>
        </w:trPr>
        <w:tc>
          <w:tcPr>
            <w:tcW w:w="1134" w:type="dxa"/>
          </w:tcPr>
          <w:p w14:paraId="37E8D183" w14:textId="6ED123FF"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1.8</w:t>
            </w:r>
          </w:p>
          <w:p w14:paraId="79BA6667" w14:textId="77777777" w:rsidR="00DF5B69" w:rsidRPr="000544A1" w:rsidRDefault="00DF5B69" w:rsidP="00FF0E34">
            <w:pPr>
              <w:spacing w:after="0" w:line="240" w:lineRule="auto"/>
              <w:rPr>
                <w:rFonts w:asciiTheme="majorHAnsi" w:hAnsiTheme="majorHAnsi"/>
                <w:sz w:val="18"/>
                <w:szCs w:val="18"/>
              </w:rPr>
            </w:pPr>
          </w:p>
        </w:tc>
        <w:tc>
          <w:tcPr>
            <w:tcW w:w="1276" w:type="dxa"/>
          </w:tcPr>
          <w:p w14:paraId="7EF7791F" w14:textId="3218A6A5"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Research</w:t>
            </w:r>
          </w:p>
        </w:tc>
        <w:tc>
          <w:tcPr>
            <w:tcW w:w="992" w:type="dxa"/>
          </w:tcPr>
          <w:p w14:paraId="76EE9644"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3A07A038" w14:textId="77777777" w:rsidR="00DF5B69" w:rsidRPr="00B82E61" w:rsidRDefault="00DF5B69" w:rsidP="00FF0E34">
            <w:pPr>
              <w:pStyle w:val="Default"/>
              <w:rPr>
                <w:rFonts w:asciiTheme="majorHAnsi" w:hAnsiTheme="majorHAnsi"/>
                <w:sz w:val="18"/>
                <w:szCs w:val="18"/>
                <w:lang w:val="en-GB"/>
              </w:rPr>
            </w:pPr>
            <w:r w:rsidRPr="00B82E61">
              <w:rPr>
                <w:rFonts w:asciiTheme="majorHAnsi" w:hAnsiTheme="majorHAnsi"/>
                <w:sz w:val="18"/>
                <w:szCs w:val="18"/>
                <w:lang w:val="en-GB"/>
              </w:rPr>
              <w:t xml:space="preserve">The government has allocated funds – or channelled donor funds/other sources of funding – to research on migration and development carried out by think tanks, academia or autonomous government research institutions. </w:t>
            </w:r>
          </w:p>
          <w:p w14:paraId="519A6560" w14:textId="77777777" w:rsidR="00DF5B69" w:rsidRPr="00B82E61" w:rsidRDefault="00DF5B69" w:rsidP="00FF0E34">
            <w:pPr>
              <w:pStyle w:val="Default"/>
              <w:rPr>
                <w:rFonts w:asciiTheme="majorHAnsi" w:hAnsiTheme="majorHAnsi"/>
                <w:sz w:val="18"/>
                <w:szCs w:val="18"/>
                <w:lang w:val="en-GB"/>
              </w:rPr>
            </w:pPr>
          </w:p>
          <w:p w14:paraId="2B2FF655" w14:textId="77777777" w:rsidR="00DF5B69" w:rsidRPr="00B82E61" w:rsidRDefault="00DF5B69" w:rsidP="00FF0E34">
            <w:pPr>
              <w:pStyle w:val="Default"/>
              <w:rPr>
                <w:rFonts w:asciiTheme="majorHAnsi" w:hAnsiTheme="majorHAnsi"/>
                <w:sz w:val="18"/>
                <w:szCs w:val="18"/>
                <w:lang w:val="en-GB"/>
              </w:rPr>
            </w:pPr>
            <w:r w:rsidRPr="00B82E61">
              <w:rPr>
                <w:rFonts w:asciiTheme="majorHAnsi" w:hAnsiTheme="majorHAnsi"/>
                <w:sz w:val="18"/>
                <w:szCs w:val="18"/>
                <w:lang w:val="en-GB"/>
              </w:rPr>
              <w:t>0 = no</w:t>
            </w:r>
          </w:p>
          <w:p w14:paraId="51518E23" w14:textId="77777777" w:rsidR="008B56B6" w:rsidRPr="00B82E61" w:rsidRDefault="00DF5B69" w:rsidP="00FF0E34">
            <w:pPr>
              <w:pStyle w:val="Default"/>
              <w:rPr>
                <w:rFonts w:asciiTheme="majorHAnsi" w:hAnsiTheme="majorHAnsi"/>
                <w:sz w:val="18"/>
                <w:szCs w:val="18"/>
                <w:lang w:val="en-GB"/>
              </w:rPr>
            </w:pPr>
            <w:r w:rsidRPr="00B82E61">
              <w:rPr>
                <w:rFonts w:asciiTheme="majorHAnsi" w:hAnsiTheme="majorHAnsi"/>
                <w:sz w:val="18"/>
                <w:szCs w:val="18"/>
                <w:lang w:val="en-GB"/>
              </w:rPr>
              <w:t>yes = 10</w:t>
            </w:r>
          </w:p>
          <w:p w14:paraId="23F7AEAB" w14:textId="77777777" w:rsidR="008B56B6" w:rsidRDefault="008B56B6" w:rsidP="00FF0E34">
            <w:pPr>
              <w:pStyle w:val="Default"/>
              <w:rPr>
                <w:rFonts w:asciiTheme="majorHAnsi" w:hAnsiTheme="majorHAnsi"/>
                <w:sz w:val="18"/>
                <w:szCs w:val="18"/>
                <w:lang w:val="en-GB"/>
              </w:rPr>
            </w:pPr>
          </w:p>
          <w:p w14:paraId="6A09E847" w14:textId="40C6C170"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  </w:t>
            </w:r>
          </w:p>
        </w:tc>
      </w:tr>
      <w:tr w:rsidR="00DF5B69" w:rsidRPr="000544A1" w14:paraId="3F49CFA0" w14:textId="77777777" w:rsidTr="00DF5B69">
        <w:trPr>
          <w:trHeight w:val="587"/>
        </w:trPr>
        <w:tc>
          <w:tcPr>
            <w:tcW w:w="1134" w:type="dxa"/>
          </w:tcPr>
          <w:p w14:paraId="5FBAC188" w14:textId="685EDCFA"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lastRenderedPageBreak/>
              <w:t>1.9</w:t>
            </w:r>
          </w:p>
        </w:tc>
        <w:tc>
          <w:tcPr>
            <w:tcW w:w="1276" w:type="dxa"/>
          </w:tcPr>
          <w:p w14:paraId="1A9F79AA" w14:textId="76BDC9A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Research</w:t>
            </w:r>
          </w:p>
        </w:tc>
        <w:tc>
          <w:tcPr>
            <w:tcW w:w="992" w:type="dxa"/>
          </w:tcPr>
          <w:p w14:paraId="730B40E0"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11C4D494" w14:textId="2E13CB2B"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The country has a national migration report, such as a migration profile</w:t>
            </w:r>
            <w:r>
              <w:rPr>
                <w:rFonts w:asciiTheme="majorHAnsi" w:hAnsiTheme="majorHAnsi"/>
                <w:sz w:val="18"/>
                <w:szCs w:val="18"/>
                <w:lang w:val="en-GB"/>
              </w:rPr>
              <w:t xml:space="preserve"> (e.g. labour market statistics, border crossing, exit visa)</w:t>
            </w:r>
            <w:r w:rsidRPr="000544A1">
              <w:rPr>
                <w:rFonts w:asciiTheme="majorHAnsi" w:hAnsiTheme="majorHAnsi"/>
                <w:sz w:val="18"/>
                <w:szCs w:val="18"/>
                <w:lang w:val="en-GB"/>
              </w:rPr>
              <w:t>.</w:t>
            </w:r>
          </w:p>
          <w:p w14:paraId="471BE757" w14:textId="77777777" w:rsidR="00DF5B69" w:rsidRPr="000544A1" w:rsidRDefault="00DF5B69" w:rsidP="00FF0E34">
            <w:pPr>
              <w:pStyle w:val="Default"/>
              <w:rPr>
                <w:rFonts w:asciiTheme="majorHAnsi" w:hAnsiTheme="majorHAnsi"/>
                <w:sz w:val="18"/>
                <w:szCs w:val="18"/>
                <w:lang w:val="en-GB"/>
              </w:rPr>
            </w:pPr>
          </w:p>
          <w:p w14:paraId="1486C994"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11EFE57F"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yes (report more than five years old)</w:t>
            </w:r>
          </w:p>
          <w:p w14:paraId="3B43EB7D"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yes (report less than five years old)</w:t>
            </w:r>
          </w:p>
        </w:tc>
      </w:tr>
      <w:tr w:rsidR="00DF5B69" w:rsidRPr="000544A1" w14:paraId="0C51C212" w14:textId="77777777" w:rsidTr="00DF5B69">
        <w:trPr>
          <w:trHeight w:val="587"/>
        </w:trPr>
        <w:tc>
          <w:tcPr>
            <w:tcW w:w="1134" w:type="dxa"/>
          </w:tcPr>
          <w:p w14:paraId="0DAF0758" w14:textId="1A505FE1" w:rsidR="00DF5B69" w:rsidRPr="000544A1" w:rsidRDefault="00DF5B69" w:rsidP="00FF0E34">
            <w:pPr>
              <w:pStyle w:val="Titlu1"/>
              <w:suppressAutoHyphens w:val="0"/>
              <w:spacing w:before="0" w:line="240" w:lineRule="auto"/>
              <w:jc w:val="left"/>
              <w:rPr>
                <w:b w:val="0"/>
                <w:color w:val="auto"/>
                <w:sz w:val="18"/>
                <w:szCs w:val="18"/>
              </w:rPr>
            </w:pPr>
            <w:r>
              <w:rPr>
                <w:b w:val="0"/>
                <w:color w:val="auto"/>
                <w:sz w:val="18"/>
                <w:szCs w:val="18"/>
              </w:rPr>
              <w:t>1.10</w:t>
            </w:r>
          </w:p>
        </w:tc>
        <w:tc>
          <w:tcPr>
            <w:tcW w:w="1276" w:type="dxa"/>
          </w:tcPr>
          <w:p w14:paraId="0EB962C2" w14:textId="69EDF0F8"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Research</w:t>
            </w:r>
          </w:p>
        </w:tc>
        <w:tc>
          <w:tcPr>
            <w:tcW w:w="992" w:type="dxa"/>
          </w:tcPr>
          <w:p w14:paraId="790E7142"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3A1BE770" w14:textId="1C68FD13"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Relevant ministries and authorities were involved in the development of the national </w:t>
            </w:r>
            <w:r w:rsidR="007B2F22">
              <w:rPr>
                <w:rFonts w:asciiTheme="majorHAnsi" w:hAnsiTheme="majorHAnsi"/>
                <w:sz w:val="18"/>
                <w:szCs w:val="18"/>
                <w:lang w:val="en-GB"/>
              </w:rPr>
              <w:t>migration</w:t>
            </w:r>
            <w:r w:rsidRPr="000544A1">
              <w:rPr>
                <w:rFonts w:asciiTheme="majorHAnsi" w:hAnsiTheme="majorHAnsi"/>
                <w:sz w:val="18"/>
                <w:szCs w:val="18"/>
                <w:lang w:val="en-GB"/>
              </w:rPr>
              <w:t xml:space="preserve"> report. </w:t>
            </w:r>
          </w:p>
          <w:p w14:paraId="5B8A9445" w14:textId="77777777" w:rsidR="00DF5B69" w:rsidRPr="000544A1" w:rsidRDefault="00DF5B69" w:rsidP="00FF0E34">
            <w:pPr>
              <w:pStyle w:val="Default"/>
              <w:tabs>
                <w:tab w:val="left" w:pos="1961"/>
              </w:tabs>
              <w:rPr>
                <w:rFonts w:asciiTheme="majorHAnsi" w:hAnsiTheme="majorHAnsi"/>
                <w:sz w:val="18"/>
                <w:szCs w:val="18"/>
                <w:lang w:val="en-GB"/>
              </w:rPr>
            </w:pPr>
          </w:p>
          <w:p w14:paraId="6E66FA13" w14:textId="77777777" w:rsidR="00DF5B69" w:rsidRPr="000544A1" w:rsidRDefault="00DF5B69" w:rsidP="00FF0E34">
            <w:pPr>
              <w:pStyle w:val="Default"/>
              <w:tabs>
                <w:tab w:val="left" w:pos="1961"/>
              </w:tabs>
              <w:rPr>
                <w:rFonts w:asciiTheme="majorHAnsi" w:hAnsiTheme="majorHAnsi"/>
                <w:sz w:val="18"/>
                <w:szCs w:val="18"/>
                <w:lang w:val="en-GB"/>
              </w:rPr>
            </w:pPr>
            <w:r w:rsidRPr="000544A1">
              <w:rPr>
                <w:rFonts w:asciiTheme="majorHAnsi" w:hAnsiTheme="majorHAnsi"/>
                <w:sz w:val="18"/>
                <w:szCs w:val="18"/>
                <w:lang w:val="en-GB"/>
              </w:rPr>
              <w:t>0 = no</w:t>
            </w:r>
          </w:p>
          <w:p w14:paraId="7F949107" w14:textId="77777777" w:rsidR="00DF5B69" w:rsidRPr="000544A1" w:rsidRDefault="00DF5B69" w:rsidP="00FF0E34">
            <w:pPr>
              <w:pStyle w:val="Default"/>
              <w:tabs>
                <w:tab w:val="left" w:pos="1961"/>
              </w:tabs>
              <w:rPr>
                <w:rFonts w:asciiTheme="majorHAnsi" w:hAnsiTheme="majorHAnsi"/>
                <w:sz w:val="18"/>
                <w:szCs w:val="18"/>
                <w:lang w:val="en-GB"/>
              </w:rPr>
            </w:pPr>
            <w:r w:rsidRPr="000544A1">
              <w:rPr>
                <w:rFonts w:asciiTheme="majorHAnsi" w:hAnsiTheme="majorHAnsi"/>
                <w:sz w:val="18"/>
                <w:szCs w:val="18"/>
                <w:lang w:val="en-GB"/>
              </w:rPr>
              <w:t xml:space="preserve">10 = yes </w:t>
            </w:r>
            <w:r w:rsidRPr="000544A1">
              <w:rPr>
                <w:rFonts w:asciiTheme="majorHAnsi" w:hAnsiTheme="majorHAnsi"/>
                <w:sz w:val="18"/>
                <w:szCs w:val="18"/>
                <w:lang w:val="en-GB"/>
              </w:rPr>
              <w:tab/>
            </w:r>
          </w:p>
        </w:tc>
      </w:tr>
      <w:tr w:rsidR="00DF5B69" w:rsidRPr="000544A1" w14:paraId="107E6E87" w14:textId="77777777" w:rsidTr="00DF5B69">
        <w:trPr>
          <w:trHeight w:val="587"/>
        </w:trPr>
        <w:tc>
          <w:tcPr>
            <w:tcW w:w="1134" w:type="dxa"/>
            <w:tcBorders>
              <w:bottom w:val="single" w:sz="4" w:space="0" w:color="auto"/>
            </w:tcBorders>
          </w:tcPr>
          <w:p w14:paraId="7988EDB1" w14:textId="187AF449" w:rsidR="00DF5B69" w:rsidRPr="000544A1"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t>1.11</w:t>
            </w:r>
          </w:p>
        </w:tc>
        <w:tc>
          <w:tcPr>
            <w:tcW w:w="1276" w:type="dxa"/>
            <w:tcBorders>
              <w:bottom w:val="single" w:sz="4" w:space="0" w:color="auto"/>
            </w:tcBorders>
          </w:tcPr>
          <w:p w14:paraId="15139BFD" w14:textId="68424A1C"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Funding</w:t>
            </w:r>
          </w:p>
        </w:tc>
        <w:tc>
          <w:tcPr>
            <w:tcW w:w="992" w:type="dxa"/>
            <w:tcBorders>
              <w:bottom w:val="single" w:sz="4" w:space="0" w:color="auto"/>
            </w:tcBorders>
          </w:tcPr>
          <w:p w14:paraId="2C53E68B"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Borders>
              <w:bottom w:val="single" w:sz="4" w:space="0" w:color="auto"/>
            </w:tcBorders>
          </w:tcPr>
          <w:p w14:paraId="29C02DBA" w14:textId="77777777"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The government has allocated funds to projects and programmes that support migration and development. </w:t>
            </w:r>
          </w:p>
          <w:p w14:paraId="60BE3D24" w14:textId="77777777" w:rsidR="00D734A9" w:rsidRDefault="00D734A9" w:rsidP="00FF0E34">
            <w:pPr>
              <w:pStyle w:val="Default"/>
              <w:rPr>
                <w:rFonts w:asciiTheme="majorHAnsi" w:hAnsiTheme="majorHAnsi"/>
                <w:sz w:val="18"/>
                <w:szCs w:val="18"/>
                <w:lang w:val="en-GB"/>
              </w:rPr>
            </w:pPr>
          </w:p>
          <w:p w14:paraId="1548478F" w14:textId="77777777" w:rsidR="00D734A9" w:rsidRDefault="00D734A9" w:rsidP="00D734A9">
            <w:pPr>
              <w:pStyle w:val="Default"/>
              <w:rPr>
                <w:rFonts w:asciiTheme="majorHAnsi" w:hAnsiTheme="majorHAnsi"/>
                <w:sz w:val="18"/>
                <w:szCs w:val="18"/>
                <w:lang w:val="en-GB"/>
              </w:rPr>
            </w:pPr>
            <w:r>
              <w:rPr>
                <w:rFonts w:asciiTheme="majorHAnsi" w:hAnsiTheme="majorHAnsi"/>
                <w:sz w:val="18"/>
                <w:szCs w:val="18"/>
                <w:lang w:val="en-GB"/>
              </w:rPr>
              <w:t>These projects and programmes are defined as government actions or activities that have any combination of the following aims:</w:t>
            </w:r>
          </w:p>
          <w:p w14:paraId="10EDEDC7"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Engage diaspora in the transfer of knowledge, capacity building initiatives, local development projects, investments (business investment and creation) and professional networks in countries of origin</w:t>
            </w:r>
          </w:p>
          <w:p w14:paraId="12C7A0F2"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Facilitate remittances (individual and collective)</w:t>
            </w:r>
          </w:p>
          <w:p w14:paraId="0F76197E"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Channel remittances towards productive investment</w:t>
            </w:r>
          </w:p>
          <w:p w14:paraId="40BCA561"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Encourage brain circulation</w:t>
            </w:r>
          </w:p>
          <w:p w14:paraId="20215355"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 xml:space="preserve">Provide pre-departure/post-arrival training and skills development </w:t>
            </w:r>
          </w:p>
          <w:p w14:paraId="3986963B"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Enhance the education and skills of migrants</w:t>
            </w:r>
          </w:p>
          <w:p w14:paraId="7B3E31AB"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 xml:space="preserve">Establish services (provided by countries of origin) to help return migrants re-integrate socially and economically </w:t>
            </w:r>
          </w:p>
          <w:p w14:paraId="1C045DF7" w14:textId="77777777" w:rsidR="00D734A9" w:rsidRPr="00D734A9" w:rsidRDefault="00D734A9"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sidRPr="00D734A9">
              <w:rPr>
                <w:rFonts w:asciiTheme="majorHAnsi" w:eastAsiaTheme="minorHAnsi" w:hAnsiTheme="majorHAnsi" w:cs="FoundrySterling-Bold"/>
                <w:color w:val="000000"/>
                <w:kern w:val="0"/>
                <w:sz w:val="18"/>
                <w:szCs w:val="18"/>
                <w:lang w:eastAsia="en-US"/>
              </w:rPr>
              <w:t>Promote the integration of migrants in countries of destination</w:t>
            </w:r>
          </w:p>
          <w:p w14:paraId="6E959555" w14:textId="1E2C53D5" w:rsidR="00D734A9" w:rsidRPr="00D734A9" w:rsidRDefault="00155E9B" w:rsidP="00D734A9">
            <w:pPr>
              <w:pStyle w:val="Listparagraf"/>
              <w:numPr>
                <w:ilvl w:val="0"/>
                <w:numId w:val="29"/>
              </w:numPr>
              <w:suppressAutoHyphens w:val="0"/>
              <w:jc w:val="left"/>
              <w:rPr>
                <w:rFonts w:asciiTheme="majorHAnsi" w:eastAsiaTheme="minorHAnsi" w:hAnsiTheme="majorHAnsi" w:cs="FoundrySterling-Bold"/>
                <w:color w:val="000000"/>
                <w:kern w:val="0"/>
                <w:sz w:val="18"/>
                <w:szCs w:val="18"/>
                <w:lang w:eastAsia="en-US"/>
              </w:rPr>
            </w:pPr>
            <w:r>
              <w:rPr>
                <w:rFonts w:asciiTheme="majorHAnsi" w:eastAsiaTheme="minorHAnsi" w:hAnsiTheme="majorHAnsi" w:cs="FoundrySterling-Bold"/>
                <w:color w:val="000000"/>
                <w:kern w:val="0"/>
                <w:sz w:val="18"/>
                <w:szCs w:val="18"/>
                <w:lang w:eastAsia="en-US"/>
              </w:rPr>
              <w:t>Protect emigrants abroad</w:t>
            </w:r>
          </w:p>
          <w:p w14:paraId="3CD6C1B8"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15D281BE" w14:textId="77777777"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funds come from donors or other sources</w:t>
            </w:r>
          </w:p>
          <w:p w14:paraId="47C81DF4"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10 = funds are in part or fully public </w:t>
            </w:r>
          </w:p>
        </w:tc>
      </w:tr>
      <w:tr w:rsidR="00DF5B69" w:rsidRPr="000544A1" w14:paraId="228163BE" w14:textId="77777777" w:rsidTr="00DF5B69">
        <w:trPr>
          <w:trHeight w:val="587"/>
        </w:trPr>
        <w:tc>
          <w:tcPr>
            <w:tcW w:w="1134" w:type="dxa"/>
          </w:tcPr>
          <w:p w14:paraId="2518939E" w14:textId="23A675D4" w:rsidR="00DF5B69"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t>1.12</w:t>
            </w:r>
          </w:p>
        </w:tc>
        <w:tc>
          <w:tcPr>
            <w:tcW w:w="1276" w:type="dxa"/>
          </w:tcPr>
          <w:p w14:paraId="3AE3C8EC" w14:textId="691A5F4C" w:rsidR="00DF5B69" w:rsidRPr="000544A1" w:rsidRDefault="001C6574" w:rsidP="00FF0E34">
            <w:pPr>
              <w:pStyle w:val="Default"/>
              <w:rPr>
                <w:rFonts w:asciiTheme="majorHAnsi" w:hAnsiTheme="majorHAnsi"/>
                <w:sz w:val="18"/>
                <w:szCs w:val="18"/>
                <w:lang w:val="en-GB"/>
              </w:rPr>
            </w:pPr>
            <w:r>
              <w:rPr>
                <w:rFonts w:asciiTheme="majorHAnsi" w:hAnsiTheme="majorHAnsi"/>
                <w:sz w:val="18"/>
                <w:szCs w:val="18"/>
                <w:lang w:val="en-GB"/>
              </w:rPr>
              <w:t>Evaluation</w:t>
            </w:r>
          </w:p>
        </w:tc>
        <w:tc>
          <w:tcPr>
            <w:tcW w:w="992" w:type="dxa"/>
          </w:tcPr>
          <w:p w14:paraId="4F9FEC3C" w14:textId="10FA0F49" w:rsidR="00DF5B69" w:rsidRDefault="00DF5B69" w:rsidP="00FF0E34">
            <w:pPr>
              <w:pStyle w:val="Default"/>
              <w:rPr>
                <w:rFonts w:asciiTheme="majorHAnsi" w:hAnsiTheme="majorHAnsi"/>
                <w:sz w:val="18"/>
                <w:szCs w:val="18"/>
                <w:lang w:val="en-GB"/>
              </w:rPr>
            </w:pPr>
            <w:r>
              <w:rPr>
                <w:rFonts w:asciiTheme="majorHAnsi" w:hAnsiTheme="majorHAnsi"/>
                <w:sz w:val="18"/>
                <w:szCs w:val="18"/>
                <w:lang w:val="en-GB"/>
              </w:rPr>
              <w:t>Output</w:t>
            </w:r>
          </w:p>
        </w:tc>
        <w:tc>
          <w:tcPr>
            <w:tcW w:w="9214" w:type="dxa"/>
          </w:tcPr>
          <w:p w14:paraId="5B168B12" w14:textId="77777777" w:rsidR="00DF5B69" w:rsidRPr="000544A1" w:rsidRDefault="00DF5B69" w:rsidP="004663FF">
            <w:pPr>
              <w:pStyle w:val="Default"/>
              <w:rPr>
                <w:rFonts w:asciiTheme="majorHAnsi" w:hAnsiTheme="majorHAnsi"/>
                <w:sz w:val="18"/>
                <w:szCs w:val="18"/>
                <w:lang w:val="en-GB"/>
              </w:rPr>
            </w:pPr>
            <w:r w:rsidRPr="000544A1">
              <w:rPr>
                <w:rFonts w:asciiTheme="majorHAnsi" w:hAnsiTheme="majorHAnsi"/>
                <w:sz w:val="18"/>
                <w:szCs w:val="18"/>
                <w:lang w:val="en-GB"/>
              </w:rPr>
              <w:t xml:space="preserve">Impact evaluations on migration and development programmes have been conducted.  </w:t>
            </w:r>
          </w:p>
          <w:p w14:paraId="0AE22861" w14:textId="77777777" w:rsidR="00DF5B69" w:rsidRPr="000544A1" w:rsidRDefault="00DF5B69" w:rsidP="004663FF">
            <w:pPr>
              <w:pStyle w:val="Default"/>
              <w:rPr>
                <w:rFonts w:asciiTheme="majorHAnsi" w:hAnsiTheme="majorHAnsi"/>
                <w:sz w:val="18"/>
                <w:szCs w:val="18"/>
                <w:lang w:val="en-GB"/>
              </w:rPr>
            </w:pPr>
          </w:p>
          <w:p w14:paraId="5A872CB8" w14:textId="01008882" w:rsidR="00DF5B69" w:rsidRDefault="00DF5B69" w:rsidP="004663FF">
            <w:pPr>
              <w:pStyle w:val="Default"/>
              <w:rPr>
                <w:rFonts w:asciiTheme="majorHAnsi" w:hAnsiTheme="majorHAnsi"/>
                <w:sz w:val="18"/>
                <w:szCs w:val="18"/>
                <w:lang w:val="en-GB"/>
              </w:rPr>
            </w:pPr>
            <w:r w:rsidRPr="000544A1">
              <w:rPr>
                <w:rFonts w:asciiTheme="majorHAnsi" w:hAnsiTheme="majorHAnsi"/>
                <w:sz w:val="18"/>
                <w:szCs w:val="18"/>
                <w:lang w:val="en-GB"/>
              </w:rPr>
              <w:t>0 = no evaluations have been conducted</w:t>
            </w:r>
          </w:p>
          <w:p w14:paraId="2F3933B1" w14:textId="0C819F8C" w:rsidR="00DF5B69" w:rsidRDefault="00DF5B69" w:rsidP="004663FF">
            <w:pPr>
              <w:pStyle w:val="Default"/>
              <w:rPr>
                <w:rFonts w:asciiTheme="majorHAnsi" w:hAnsiTheme="majorHAnsi"/>
                <w:sz w:val="18"/>
                <w:szCs w:val="18"/>
                <w:lang w:val="en-GB"/>
              </w:rPr>
            </w:pPr>
            <w:r w:rsidRPr="000544A1">
              <w:rPr>
                <w:rFonts w:asciiTheme="majorHAnsi" w:hAnsiTheme="majorHAnsi"/>
                <w:sz w:val="18"/>
                <w:szCs w:val="18"/>
                <w:lang w:val="en-GB"/>
              </w:rPr>
              <w:t>5 = evaluations conducted more than two years ago</w:t>
            </w:r>
          </w:p>
          <w:p w14:paraId="4536A638" w14:textId="4080DE99" w:rsidR="00DF5B69" w:rsidRPr="000544A1" w:rsidRDefault="00DF5B69" w:rsidP="004663FF">
            <w:pPr>
              <w:pStyle w:val="Default"/>
              <w:rPr>
                <w:rFonts w:asciiTheme="majorHAnsi" w:hAnsiTheme="majorHAnsi"/>
                <w:sz w:val="18"/>
                <w:szCs w:val="18"/>
                <w:lang w:val="en-GB"/>
              </w:rPr>
            </w:pPr>
            <w:r w:rsidRPr="000544A1">
              <w:rPr>
                <w:rFonts w:asciiTheme="majorHAnsi" w:hAnsiTheme="majorHAnsi"/>
                <w:sz w:val="18"/>
                <w:szCs w:val="18"/>
                <w:lang w:val="en-GB"/>
              </w:rPr>
              <w:t>10 = evaluations conducted in the last two years</w:t>
            </w:r>
          </w:p>
        </w:tc>
      </w:tr>
      <w:tr w:rsidR="00DF5B69" w:rsidRPr="000544A1" w14:paraId="5F40720B" w14:textId="77777777" w:rsidTr="00B3379F">
        <w:trPr>
          <w:trHeight w:val="311"/>
        </w:trPr>
        <w:tc>
          <w:tcPr>
            <w:tcW w:w="1134" w:type="dxa"/>
          </w:tcPr>
          <w:p w14:paraId="5D62F274" w14:textId="3FFA5B2D" w:rsidR="00DF5B69" w:rsidRPr="000544A1"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t>1.13</w:t>
            </w:r>
          </w:p>
        </w:tc>
        <w:tc>
          <w:tcPr>
            <w:tcW w:w="1276" w:type="dxa"/>
          </w:tcPr>
          <w:p w14:paraId="37FC3BEF" w14:textId="3E3486A5" w:rsidR="00DF5B69" w:rsidRPr="000544A1" w:rsidRDefault="001C6574" w:rsidP="00FF0E34">
            <w:pPr>
              <w:pStyle w:val="Default"/>
              <w:rPr>
                <w:rFonts w:asciiTheme="majorHAnsi" w:hAnsiTheme="majorHAnsi"/>
                <w:sz w:val="18"/>
                <w:szCs w:val="18"/>
                <w:lang w:val="en-GB"/>
              </w:rPr>
            </w:pPr>
            <w:r>
              <w:rPr>
                <w:rFonts w:asciiTheme="majorHAnsi" w:hAnsiTheme="majorHAnsi"/>
                <w:sz w:val="18"/>
                <w:szCs w:val="18"/>
                <w:lang w:val="en-GB"/>
              </w:rPr>
              <w:t>Co</w:t>
            </w:r>
            <w:r w:rsidR="00B2266F">
              <w:rPr>
                <w:rFonts w:asciiTheme="majorHAnsi" w:hAnsiTheme="majorHAnsi"/>
                <w:sz w:val="18"/>
                <w:szCs w:val="18"/>
                <w:lang w:val="en-GB"/>
              </w:rPr>
              <w:t>-</w:t>
            </w:r>
            <w:r>
              <w:rPr>
                <w:rFonts w:asciiTheme="majorHAnsi" w:hAnsiTheme="majorHAnsi"/>
                <w:sz w:val="18"/>
                <w:szCs w:val="18"/>
                <w:lang w:val="en-GB"/>
              </w:rPr>
              <w:t>ordination</w:t>
            </w:r>
          </w:p>
        </w:tc>
        <w:tc>
          <w:tcPr>
            <w:tcW w:w="992" w:type="dxa"/>
          </w:tcPr>
          <w:p w14:paraId="629419F6"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Output</w:t>
            </w:r>
          </w:p>
        </w:tc>
        <w:tc>
          <w:tcPr>
            <w:tcW w:w="9214" w:type="dxa"/>
          </w:tcPr>
          <w:p w14:paraId="66B4DFE9"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Existence of inter-agency committee or body working specifically on migration and development. </w:t>
            </w:r>
          </w:p>
          <w:p w14:paraId="43FEDCEA" w14:textId="77777777" w:rsidR="00DF5B69" w:rsidRPr="000544A1" w:rsidRDefault="00DF5B69" w:rsidP="00FF0E34">
            <w:pPr>
              <w:pStyle w:val="Default"/>
              <w:rPr>
                <w:rFonts w:asciiTheme="majorHAnsi" w:hAnsiTheme="majorHAnsi"/>
                <w:sz w:val="18"/>
                <w:szCs w:val="18"/>
                <w:lang w:val="en-GB"/>
              </w:rPr>
            </w:pPr>
          </w:p>
          <w:p w14:paraId="236DCCBC"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465405F6"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10 = yes </w:t>
            </w:r>
          </w:p>
        </w:tc>
      </w:tr>
      <w:tr w:rsidR="00DF5B69" w:rsidRPr="000544A1" w14:paraId="5ED7B0D3" w14:textId="77777777" w:rsidTr="00DF5B69">
        <w:trPr>
          <w:trHeight w:val="587"/>
        </w:trPr>
        <w:tc>
          <w:tcPr>
            <w:tcW w:w="1134" w:type="dxa"/>
          </w:tcPr>
          <w:p w14:paraId="4663EF88" w14:textId="0288B235" w:rsidR="00DF5B69" w:rsidRPr="000544A1"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lastRenderedPageBreak/>
              <w:t>1.14</w:t>
            </w:r>
          </w:p>
        </w:tc>
        <w:tc>
          <w:tcPr>
            <w:tcW w:w="1276" w:type="dxa"/>
          </w:tcPr>
          <w:p w14:paraId="02E8FE97" w14:textId="001E48AE" w:rsidR="00DF5B69" w:rsidRPr="000544A1" w:rsidRDefault="001C6574" w:rsidP="00FF0E34">
            <w:pPr>
              <w:pStyle w:val="Default"/>
              <w:rPr>
                <w:rFonts w:asciiTheme="majorHAnsi" w:hAnsiTheme="majorHAnsi"/>
                <w:sz w:val="18"/>
                <w:szCs w:val="18"/>
                <w:lang w:val="en-GB"/>
              </w:rPr>
            </w:pPr>
            <w:r>
              <w:rPr>
                <w:rFonts w:asciiTheme="majorHAnsi" w:hAnsiTheme="majorHAnsi"/>
                <w:sz w:val="18"/>
                <w:szCs w:val="18"/>
                <w:lang w:val="en-GB"/>
              </w:rPr>
              <w:t>Co</w:t>
            </w:r>
            <w:r w:rsidR="00B2266F">
              <w:rPr>
                <w:rFonts w:asciiTheme="majorHAnsi" w:hAnsiTheme="majorHAnsi"/>
                <w:sz w:val="18"/>
                <w:szCs w:val="18"/>
                <w:lang w:val="en-GB"/>
              </w:rPr>
              <w:t>-</w:t>
            </w:r>
            <w:r>
              <w:rPr>
                <w:rFonts w:asciiTheme="majorHAnsi" w:hAnsiTheme="majorHAnsi"/>
                <w:sz w:val="18"/>
                <w:szCs w:val="18"/>
                <w:lang w:val="en-GB"/>
              </w:rPr>
              <w:t>ordination</w:t>
            </w:r>
          </w:p>
        </w:tc>
        <w:tc>
          <w:tcPr>
            <w:tcW w:w="992" w:type="dxa"/>
          </w:tcPr>
          <w:p w14:paraId="3F7B9397"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02D9CC32"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Frequency of meetings of the body working on migration and development. </w:t>
            </w:r>
          </w:p>
          <w:p w14:paraId="787B5774" w14:textId="77777777" w:rsidR="00DF5B69" w:rsidRPr="000544A1" w:rsidRDefault="00DF5B69" w:rsidP="00FF0E34">
            <w:pPr>
              <w:pStyle w:val="Default"/>
              <w:rPr>
                <w:rFonts w:asciiTheme="majorHAnsi" w:hAnsiTheme="majorHAnsi"/>
                <w:sz w:val="18"/>
                <w:szCs w:val="18"/>
                <w:lang w:val="en-GB"/>
              </w:rPr>
            </w:pPr>
          </w:p>
          <w:p w14:paraId="2ED6ED50"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 meetings</w:t>
            </w:r>
          </w:p>
          <w:p w14:paraId="065ADD53"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5 = once a year</w:t>
            </w:r>
          </w:p>
          <w:p w14:paraId="66E962A9"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10 = more than once a year </w:t>
            </w:r>
          </w:p>
        </w:tc>
      </w:tr>
      <w:tr w:rsidR="00DF5B69" w:rsidRPr="000544A1" w14:paraId="29123449" w14:textId="77777777" w:rsidTr="00DF5B69">
        <w:trPr>
          <w:trHeight w:val="587"/>
        </w:trPr>
        <w:tc>
          <w:tcPr>
            <w:tcW w:w="1134" w:type="dxa"/>
          </w:tcPr>
          <w:p w14:paraId="13A777C8" w14:textId="51293B19" w:rsidR="00DF5B69" w:rsidRPr="000544A1"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t>1.15</w:t>
            </w:r>
          </w:p>
        </w:tc>
        <w:tc>
          <w:tcPr>
            <w:tcW w:w="1276" w:type="dxa"/>
          </w:tcPr>
          <w:p w14:paraId="1AAAE111" w14:textId="24D6DB6F" w:rsidR="00DF5B69" w:rsidRPr="000544A1" w:rsidRDefault="001C6574" w:rsidP="00FF0E34">
            <w:pPr>
              <w:pStyle w:val="Default"/>
              <w:rPr>
                <w:rFonts w:asciiTheme="majorHAnsi" w:hAnsiTheme="majorHAnsi"/>
                <w:sz w:val="18"/>
                <w:szCs w:val="18"/>
                <w:lang w:val="en-GB"/>
              </w:rPr>
            </w:pPr>
            <w:r>
              <w:rPr>
                <w:rFonts w:asciiTheme="majorHAnsi" w:hAnsiTheme="majorHAnsi"/>
                <w:sz w:val="18"/>
                <w:szCs w:val="18"/>
                <w:lang w:val="en-GB"/>
              </w:rPr>
              <w:t>Co</w:t>
            </w:r>
            <w:r w:rsidR="00B2266F">
              <w:rPr>
                <w:rFonts w:asciiTheme="majorHAnsi" w:hAnsiTheme="majorHAnsi"/>
                <w:sz w:val="18"/>
                <w:szCs w:val="18"/>
                <w:lang w:val="en-GB"/>
              </w:rPr>
              <w:t>-</w:t>
            </w:r>
            <w:r>
              <w:rPr>
                <w:rFonts w:asciiTheme="majorHAnsi" w:hAnsiTheme="majorHAnsi"/>
                <w:sz w:val="18"/>
                <w:szCs w:val="18"/>
                <w:lang w:val="en-GB"/>
              </w:rPr>
              <w:t>ordination</w:t>
            </w:r>
          </w:p>
        </w:tc>
        <w:tc>
          <w:tcPr>
            <w:tcW w:w="992" w:type="dxa"/>
          </w:tcPr>
          <w:p w14:paraId="2888FF80"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6DF6EED6" w14:textId="1B2E83B8"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Body working on migration and development includes sectoral ministries (other than Ministry of Labour, Ministry of Foreign Affairs and Ministry of Interior)</w:t>
            </w:r>
          </w:p>
          <w:p w14:paraId="0034BED1" w14:textId="77777777" w:rsidR="00B3379F" w:rsidRDefault="00B3379F" w:rsidP="00FF0E34">
            <w:pPr>
              <w:pStyle w:val="Default"/>
              <w:rPr>
                <w:rFonts w:asciiTheme="majorHAnsi" w:hAnsiTheme="majorHAnsi"/>
                <w:sz w:val="18"/>
                <w:szCs w:val="18"/>
                <w:lang w:val="en-GB"/>
              </w:rPr>
            </w:pPr>
          </w:p>
          <w:p w14:paraId="6211BC0F" w14:textId="0EE0CCC1"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0 = body includes </w:t>
            </w:r>
            <w:r>
              <w:rPr>
                <w:rFonts w:asciiTheme="majorHAnsi" w:hAnsiTheme="majorHAnsi"/>
                <w:sz w:val="18"/>
                <w:szCs w:val="18"/>
                <w:lang w:val="en-GB"/>
              </w:rPr>
              <w:t>one or less sectoral ministry</w:t>
            </w:r>
          </w:p>
          <w:p w14:paraId="0A52EA6D" w14:textId="611BBD29" w:rsidR="00DF5B69"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 xml:space="preserve">5 = body includes </w:t>
            </w:r>
            <w:r>
              <w:rPr>
                <w:rFonts w:asciiTheme="majorHAnsi" w:hAnsiTheme="majorHAnsi"/>
                <w:sz w:val="18"/>
                <w:szCs w:val="18"/>
                <w:lang w:val="en-GB"/>
              </w:rPr>
              <w:t>two or more sectoral ministries</w:t>
            </w:r>
          </w:p>
          <w:p w14:paraId="29F81B2F" w14:textId="4522FD63" w:rsidR="00DF5B69" w:rsidRPr="000544A1" w:rsidRDefault="00DF5B69" w:rsidP="00F70CA9">
            <w:pPr>
              <w:pStyle w:val="Default"/>
              <w:rPr>
                <w:rFonts w:asciiTheme="majorHAnsi" w:hAnsiTheme="majorHAnsi"/>
                <w:sz w:val="18"/>
                <w:szCs w:val="18"/>
                <w:lang w:val="en-GB"/>
              </w:rPr>
            </w:pPr>
            <w:r w:rsidRPr="000544A1">
              <w:rPr>
                <w:rFonts w:asciiTheme="majorHAnsi" w:hAnsiTheme="majorHAnsi"/>
                <w:sz w:val="18"/>
                <w:szCs w:val="18"/>
                <w:lang w:val="en-GB"/>
              </w:rPr>
              <w:t xml:space="preserve">10 = body includes </w:t>
            </w:r>
            <w:r>
              <w:rPr>
                <w:rFonts w:asciiTheme="majorHAnsi" w:hAnsiTheme="majorHAnsi"/>
                <w:sz w:val="18"/>
                <w:szCs w:val="18"/>
                <w:lang w:val="en-GB"/>
              </w:rPr>
              <w:t>two or more sectoral ministries and local government</w:t>
            </w:r>
          </w:p>
        </w:tc>
      </w:tr>
      <w:tr w:rsidR="00DF5B69" w:rsidRPr="000544A1" w14:paraId="726D5E1B" w14:textId="77777777" w:rsidTr="00DF5B69">
        <w:trPr>
          <w:trHeight w:val="587"/>
        </w:trPr>
        <w:tc>
          <w:tcPr>
            <w:tcW w:w="1134" w:type="dxa"/>
          </w:tcPr>
          <w:p w14:paraId="3A6CA691" w14:textId="627FE82F" w:rsidR="00DF5B69" w:rsidRPr="000544A1" w:rsidRDefault="00DF5B69" w:rsidP="00FF0E34">
            <w:pPr>
              <w:pStyle w:val="Default"/>
              <w:rPr>
                <w:rFonts w:asciiTheme="majorHAnsi" w:hAnsiTheme="majorHAnsi"/>
                <w:color w:val="auto"/>
                <w:sz w:val="18"/>
                <w:szCs w:val="18"/>
                <w:lang w:val="en-GB"/>
              </w:rPr>
            </w:pPr>
            <w:r>
              <w:rPr>
                <w:rFonts w:asciiTheme="majorHAnsi" w:hAnsiTheme="majorHAnsi"/>
                <w:color w:val="auto"/>
                <w:sz w:val="18"/>
                <w:szCs w:val="18"/>
                <w:lang w:val="en-GB"/>
              </w:rPr>
              <w:t>1.16</w:t>
            </w:r>
          </w:p>
        </w:tc>
        <w:tc>
          <w:tcPr>
            <w:tcW w:w="1276" w:type="dxa"/>
          </w:tcPr>
          <w:p w14:paraId="753EDE8A" w14:textId="61ACE8D9" w:rsidR="00DF5B69" w:rsidRPr="000544A1" w:rsidRDefault="001C6574" w:rsidP="00FF0E34">
            <w:pPr>
              <w:pStyle w:val="Default"/>
              <w:rPr>
                <w:rFonts w:asciiTheme="majorHAnsi" w:hAnsiTheme="majorHAnsi"/>
                <w:sz w:val="18"/>
                <w:szCs w:val="18"/>
                <w:lang w:val="en-GB"/>
              </w:rPr>
            </w:pPr>
            <w:r>
              <w:rPr>
                <w:rFonts w:asciiTheme="majorHAnsi" w:hAnsiTheme="majorHAnsi"/>
                <w:sz w:val="18"/>
                <w:szCs w:val="18"/>
                <w:lang w:val="en-GB"/>
              </w:rPr>
              <w:t>Co</w:t>
            </w:r>
            <w:r w:rsidR="00B2266F">
              <w:rPr>
                <w:rFonts w:asciiTheme="majorHAnsi" w:hAnsiTheme="majorHAnsi"/>
                <w:sz w:val="18"/>
                <w:szCs w:val="18"/>
                <w:lang w:val="en-GB"/>
              </w:rPr>
              <w:t>-</w:t>
            </w:r>
            <w:r>
              <w:rPr>
                <w:rFonts w:asciiTheme="majorHAnsi" w:hAnsiTheme="majorHAnsi"/>
                <w:sz w:val="18"/>
                <w:szCs w:val="18"/>
                <w:lang w:val="en-GB"/>
              </w:rPr>
              <w:t>ordination</w:t>
            </w:r>
          </w:p>
        </w:tc>
        <w:tc>
          <w:tcPr>
            <w:tcW w:w="992" w:type="dxa"/>
          </w:tcPr>
          <w:p w14:paraId="07EC5A7C" w14:textId="77777777" w:rsidR="00DF5B69" w:rsidRPr="000544A1" w:rsidRDefault="00DF5B69" w:rsidP="00FF0E34">
            <w:pPr>
              <w:pStyle w:val="Default"/>
              <w:rPr>
                <w:rFonts w:asciiTheme="majorHAnsi" w:hAnsiTheme="majorHAnsi"/>
                <w:sz w:val="18"/>
                <w:szCs w:val="18"/>
                <w:lang w:val="en-GB"/>
              </w:rPr>
            </w:pPr>
            <w:r>
              <w:rPr>
                <w:rFonts w:asciiTheme="majorHAnsi" w:hAnsiTheme="majorHAnsi"/>
                <w:sz w:val="18"/>
                <w:szCs w:val="18"/>
                <w:lang w:val="en-GB"/>
              </w:rPr>
              <w:t>Input</w:t>
            </w:r>
          </w:p>
        </w:tc>
        <w:tc>
          <w:tcPr>
            <w:tcW w:w="9214" w:type="dxa"/>
          </w:tcPr>
          <w:p w14:paraId="1157EE63"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Body working on migration and development allows for the meaningful participation of non-governmental stakeholders</w:t>
            </w:r>
            <w:r>
              <w:rPr>
                <w:rFonts w:asciiTheme="majorHAnsi" w:hAnsiTheme="majorHAnsi"/>
                <w:sz w:val="18"/>
                <w:szCs w:val="18"/>
                <w:lang w:val="en-GB"/>
              </w:rPr>
              <w:t>, including academia, civil society and international organisations.</w:t>
            </w:r>
          </w:p>
          <w:p w14:paraId="75610D4D" w14:textId="77777777" w:rsidR="00DF5B69" w:rsidRPr="000544A1" w:rsidRDefault="00DF5B69" w:rsidP="00FF0E34">
            <w:pPr>
              <w:pStyle w:val="Default"/>
              <w:rPr>
                <w:rFonts w:asciiTheme="majorHAnsi" w:hAnsiTheme="majorHAnsi"/>
                <w:sz w:val="18"/>
                <w:szCs w:val="18"/>
                <w:lang w:val="en-GB"/>
              </w:rPr>
            </w:pPr>
          </w:p>
          <w:p w14:paraId="27482BCD"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0 = no</w:t>
            </w:r>
          </w:p>
          <w:p w14:paraId="16C50F72" w14:textId="77777777" w:rsidR="00DF5B69" w:rsidRPr="000544A1" w:rsidRDefault="00DF5B69" w:rsidP="00FF0E34">
            <w:pPr>
              <w:pStyle w:val="Default"/>
              <w:rPr>
                <w:rFonts w:asciiTheme="majorHAnsi" w:hAnsiTheme="majorHAnsi"/>
                <w:sz w:val="18"/>
                <w:szCs w:val="18"/>
                <w:lang w:val="en-GB"/>
              </w:rPr>
            </w:pPr>
            <w:r w:rsidRPr="000544A1">
              <w:rPr>
                <w:rFonts w:asciiTheme="majorHAnsi" w:hAnsiTheme="majorHAnsi"/>
                <w:sz w:val="18"/>
                <w:szCs w:val="18"/>
                <w:lang w:val="en-GB"/>
              </w:rPr>
              <w:t>10 = yes</w:t>
            </w:r>
          </w:p>
        </w:tc>
      </w:tr>
    </w:tbl>
    <w:p w14:paraId="3965B054" w14:textId="77777777" w:rsidR="00FF0E34" w:rsidRPr="000544A1" w:rsidRDefault="00FF0E34" w:rsidP="00CF5A8F">
      <w:pPr>
        <w:jc w:val="center"/>
        <w:rPr>
          <w:rFonts w:asciiTheme="majorHAnsi" w:hAnsiTheme="majorHAnsi"/>
          <w:b/>
          <w:color w:val="000000"/>
          <w:sz w:val="32"/>
          <w:szCs w:val="32"/>
          <w:u w:val="single"/>
        </w:rPr>
      </w:pPr>
    </w:p>
    <w:p w14:paraId="1DD270BE" w14:textId="272CD0CE" w:rsidR="00A9279B" w:rsidRPr="000544A1" w:rsidRDefault="00635267" w:rsidP="00CF5A8F">
      <w:pPr>
        <w:jc w:val="center"/>
        <w:rPr>
          <w:rFonts w:asciiTheme="majorHAnsi" w:hAnsiTheme="majorHAnsi"/>
          <w:b/>
          <w:color w:val="000000"/>
          <w:sz w:val="32"/>
          <w:szCs w:val="32"/>
        </w:rPr>
      </w:pPr>
      <w:r w:rsidRPr="000544A1">
        <w:rPr>
          <w:rFonts w:asciiTheme="majorHAnsi" w:hAnsiTheme="majorHAnsi"/>
          <w:b/>
          <w:color w:val="000000"/>
          <w:sz w:val="32"/>
          <w:szCs w:val="32"/>
        </w:rPr>
        <w:t>Objective</w:t>
      </w:r>
      <w:r w:rsidR="00F2321E">
        <w:rPr>
          <w:rFonts w:asciiTheme="majorHAnsi" w:hAnsiTheme="majorHAnsi"/>
          <w:b/>
          <w:color w:val="000000"/>
          <w:sz w:val="32"/>
          <w:szCs w:val="32"/>
        </w:rPr>
        <w:t xml:space="preserve"> </w:t>
      </w:r>
      <w:r w:rsidR="007C5F49">
        <w:rPr>
          <w:rFonts w:asciiTheme="majorHAnsi" w:hAnsiTheme="majorHAnsi"/>
          <w:b/>
          <w:color w:val="000000"/>
          <w:sz w:val="32"/>
          <w:szCs w:val="32"/>
        </w:rPr>
        <w:t>2</w:t>
      </w:r>
      <w:r w:rsidRPr="000544A1">
        <w:rPr>
          <w:rFonts w:asciiTheme="majorHAnsi" w:hAnsiTheme="majorHAnsi"/>
          <w:b/>
          <w:color w:val="000000"/>
          <w:sz w:val="32"/>
          <w:szCs w:val="32"/>
        </w:rPr>
        <w:t>: Reduce the costs of migration</w:t>
      </w:r>
    </w:p>
    <w:p w14:paraId="2D3BE199" w14:textId="6951CE7F" w:rsidR="00CF5A8F" w:rsidRPr="000544A1" w:rsidRDefault="00CF5A8F" w:rsidP="00CF5A8F">
      <w:pPr>
        <w:rPr>
          <w:rFonts w:asciiTheme="majorHAnsi" w:hAnsiTheme="majorHAnsi"/>
          <w:i/>
          <w:sz w:val="18"/>
          <w:szCs w:val="18"/>
        </w:rPr>
      </w:pPr>
    </w:p>
    <w:tbl>
      <w:tblPr>
        <w:tblStyle w:val="Tabelgril"/>
        <w:tblW w:w="12611" w:type="dxa"/>
        <w:tblInd w:w="113" w:type="dxa"/>
        <w:tblLayout w:type="fixed"/>
        <w:tblLook w:val="04A0" w:firstRow="1" w:lastRow="0" w:firstColumn="1" w:lastColumn="0" w:noHBand="0" w:noVBand="1"/>
      </w:tblPr>
      <w:tblGrid>
        <w:gridCol w:w="1029"/>
        <w:gridCol w:w="1276"/>
        <w:gridCol w:w="992"/>
        <w:gridCol w:w="9314"/>
      </w:tblGrid>
      <w:tr w:rsidR="00DF5B69" w:rsidRPr="000544A1" w14:paraId="3FAF8A0C" w14:textId="77777777" w:rsidTr="00DF5B69">
        <w:trPr>
          <w:tblHeader/>
        </w:trPr>
        <w:tc>
          <w:tcPr>
            <w:tcW w:w="1029" w:type="dxa"/>
            <w:shd w:val="clear" w:color="auto" w:fill="DEEAF6" w:themeFill="accent1" w:themeFillTint="33"/>
          </w:tcPr>
          <w:p w14:paraId="59D34DF0" w14:textId="77777777" w:rsidR="00DF5B69" w:rsidRPr="000544A1" w:rsidRDefault="00DF5B69" w:rsidP="006D1804">
            <w:pPr>
              <w:suppressAutoHyphens w:val="0"/>
              <w:spacing w:after="0" w:line="240" w:lineRule="auto"/>
              <w:jc w:val="left"/>
              <w:rPr>
                <w:rFonts w:eastAsia="Calibri" w:cs="Times New Roman"/>
                <w:b/>
                <w:kern w:val="0"/>
                <w:sz w:val="18"/>
                <w:szCs w:val="18"/>
                <w:lang w:eastAsia="en-US"/>
              </w:rPr>
            </w:pPr>
            <w:r w:rsidRPr="000544A1">
              <w:rPr>
                <w:rFonts w:eastAsia="Calibri" w:cs="Times New Roman"/>
                <w:b/>
                <w:kern w:val="0"/>
                <w:sz w:val="18"/>
                <w:szCs w:val="18"/>
                <w:lang w:eastAsia="en-US"/>
              </w:rPr>
              <w:t xml:space="preserve">Indicator no. </w:t>
            </w:r>
          </w:p>
        </w:tc>
        <w:tc>
          <w:tcPr>
            <w:tcW w:w="1276" w:type="dxa"/>
            <w:shd w:val="clear" w:color="auto" w:fill="DEEAF6" w:themeFill="accent1" w:themeFillTint="33"/>
          </w:tcPr>
          <w:p w14:paraId="1A61D7F7" w14:textId="77777777" w:rsidR="00DF5B69" w:rsidRPr="000544A1" w:rsidRDefault="00DF5B69" w:rsidP="006D1804">
            <w:pPr>
              <w:suppressAutoHyphens w:val="0"/>
              <w:spacing w:after="0" w:line="240" w:lineRule="auto"/>
              <w:jc w:val="left"/>
              <w:rPr>
                <w:rFonts w:eastAsia="Calibri" w:cs="Times New Roman"/>
                <w:b/>
                <w:kern w:val="0"/>
                <w:sz w:val="18"/>
                <w:szCs w:val="18"/>
                <w:lang w:eastAsia="en-US"/>
              </w:rPr>
            </w:pPr>
            <w:r w:rsidRPr="000544A1">
              <w:rPr>
                <w:rFonts w:eastAsia="Calibri" w:cs="Times New Roman"/>
                <w:b/>
                <w:kern w:val="0"/>
                <w:sz w:val="18"/>
                <w:szCs w:val="18"/>
                <w:lang w:eastAsia="en-US"/>
              </w:rPr>
              <w:t>Policy Area</w:t>
            </w:r>
          </w:p>
        </w:tc>
        <w:tc>
          <w:tcPr>
            <w:tcW w:w="992" w:type="dxa"/>
            <w:shd w:val="clear" w:color="auto" w:fill="DEEAF6" w:themeFill="accent1" w:themeFillTint="33"/>
          </w:tcPr>
          <w:p w14:paraId="36A6E829" w14:textId="77777777" w:rsidR="00DF5B69" w:rsidRPr="000544A1" w:rsidRDefault="00DF5B69" w:rsidP="006D1804">
            <w:pPr>
              <w:suppressAutoHyphens w:val="0"/>
              <w:spacing w:after="0" w:line="240" w:lineRule="auto"/>
              <w:jc w:val="left"/>
              <w:rPr>
                <w:rFonts w:eastAsia="Calibri" w:cs="Times New Roman"/>
                <w:b/>
                <w:kern w:val="0"/>
                <w:sz w:val="18"/>
                <w:szCs w:val="18"/>
                <w:lang w:eastAsia="en-US"/>
              </w:rPr>
            </w:pPr>
            <w:r w:rsidRPr="000544A1">
              <w:rPr>
                <w:rFonts w:eastAsia="Calibri" w:cs="Times New Roman"/>
                <w:b/>
                <w:kern w:val="0"/>
                <w:sz w:val="18"/>
                <w:szCs w:val="18"/>
                <w:lang w:eastAsia="en-US"/>
              </w:rPr>
              <w:t>Indicator Type</w:t>
            </w:r>
          </w:p>
        </w:tc>
        <w:tc>
          <w:tcPr>
            <w:tcW w:w="9314" w:type="dxa"/>
            <w:shd w:val="clear" w:color="auto" w:fill="DEEAF6" w:themeFill="accent1" w:themeFillTint="33"/>
          </w:tcPr>
          <w:p w14:paraId="3C254709" w14:textId="77777777" w:rsidR="00DF5B69" w:rsidRPr="000544A1" w:rsidRDefault="00DF5B69" w:rsidP="006D1804">
            <w:pPr>
              <w:suppressAutoHyphens w:val="0"/>
              <w:spacing w:after="0" w:line="240" w:lineRule="auto"/>
              <w:jc w:val="left"/>
              <w:rPr>
                <w:rFonts w:eastAsia="Calibri" w:cs="Times New Roman"/>
                <w:b/>
                <w:color w:val="000000"/>
                <w:kern w:val="0"/>
                <w:sz w:val="18"/>
                <w:szCs w:val="18"/>
                <w:lang w:eastAsia="en-US"/>
              </w:rPr>
            </w:pPr>
            <w:r w:rsidRPr="000544A1">
              <w:rPr>
                <w:rFonts w:eastAsia="Calibri" w:cs="Times New Roman"/>
                <w:b/>
                <w:kern w:val="0"/>
                <w:sz w:val="18"/>
                <w:szCs w:val="18"/>
                <w:lang w:eastAsia="en-US"/>
              </w:rPr>
              <w:t>Indicator Measurement</w:t>
            </w:r>
          </w:p>
        </w:tc>
      </w:tr>
      <w:tr w:rsidR="00DF5B69" w:rsidRPr="000544A1" w14:paraId="76F44E8C" w14:textId="77777777" w:rsidTr="00DF5B69">
        <w:tc>
          <w:tcPr>
            <w:tcW w:w="1029" w:type="dxa"/>
          </w:tcPr>
          <w:p w14:paraId="304E3F33" w14:textId="2925FE5B" w:rsidR="00DF5B69" w:rsidRPr="000544A1" w:rsidRDefault="00DF5B69" w:rsidP="007C5F49">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2.1</w:t>
            </w:r>
          </w:p>
        </w:tc>
        <w:tc>
          <w:tcPr>
            <w:tcW w:w="1276" w:type="dxa"/>
          </w:tcPr>
          <w:p w14:paraId="44DB6291"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Migration</w:t>
            </w:r>
          </w:p>
        </w:tc>
        <w:tc>
          <w:tcPr>
            <w:tcW w:w="992" w:type="dxa"/>
          </w:tcPr>
          <w:p w14:paraId="2F6122C1"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Output</w:t>
            </w:r>
          </w:p>
        </w:tc>
        <w:tc>
          <w:tcPr>
            <w:tcW w:w="9314" w:type="dxa"/>
          </w:tcPr>
          <w:p w14:paraId="3C7F03EE" w14:textId="77777777" w:rsidR="00DF5B69" w:rsidRPr="000544A1" w:rsidRDefault="00DF5B69" w:rsidP="00EB352A">
            <w:pPr>
              <w:suppressAutoHyphens w:val="0"/>
              <w:autoSpaceDE w:val="0"/>
              <w:autoSpaceDN w:val="0"/>
              <w:adjustRightInd w:val="0"/>
              <w:spacing w:after="0" w:line="240" w:lineRule="auto"/>
              <w:jc w:val="left"/>
              <w:rPr>
                <w:rFonts w:asciiTheme="minorHAnsi" w:eastAsiaTheme="minorHAnsi" w:hAnsiTheme="minorHAnsi" w:cs="Calibri-Identity-H"/>
                <w:kern w:val="0"/>
                <w:sz w:val="18"/>
                <w:szCs w:val="18"/>
                <w:lang w:eastAsia="en-US"/>
              </w:rPr>
            </w:pPr>
            <w:r w:rsidRPr="000544A1">
              <w:rPr>
                <w:rFonts w:eastAsia="Calibri" w:cs="Times New Roman"/>
                <w:kern w:val="0"/>
                <w:sz w:val="18"/>
                <w:szCs w:val="18"/>
                <w:lang w:eastAsia="en-US"/>
              </w:rPr>
              <w:t>There are available pre-departure courses or trainings for migrants, which provide them with information on their rights, work contracts and the general work and living conditions in the host country.</w:t>
            </w:r>
          </w:p>
          <w:p w14:paraId="30691458"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p>
          <w:p w14:paraId="4A3E4F9B"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0 = no</w:t>
            </w:r>
          </w:p>
          <w:p w14:paraId="5380CCC4"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 xml:space="preserve">5 = preparatory courses exist for migrant workers </w:t>
            </w:r>
          </w:p>
          <w:p w14:paraId="0F3C64C8" w14:textId="77777777" w:rsidR="00DF5B69" w:rsidRPr="00A050CD" w:rsidRDefault="00DF5B69" w:rsidP="002F1731">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10 = preparatory courses exist migrant workers and other categories of migrants</w:t>
            </w:r>
          </w:p>
        </w:tc>
      </w:tr>
      <w:tr w:rsidR="00DF5B69" w:rsidRPr="000544A1" w14:paraId="634B7EA7" w14:textId="77777777" w:rsidTr="00DF5B69">
        <w:tc>
          <w:tcPr>
            <w:tcW w:w="1029" w:type="dxa"/>
          </w:tcPr>
          <w:p w14:paraId="430D6648" w14:textId="3C05215D"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2.2</w:t>
            </w:r>
          </w:p>
        </w:tc>
        <w:tc>
          <w:tcPr>
            <w:tcW w:w="1276" w:type="dxa"/>
          </w:tcPr>
          <w:p w14:paraId="7419BAAF" w14:textId="77777777" w:rsidR="00DF5B69" w:rsidRPr="000544A1" w:rsidRDefault="00DF5B69" w:rsidP="00664C43">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Migration</w:t>
            </w:r>
          </w:p>
          <w:p w14:paraId="1A1BC64F"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 xml:space="preserve"> </w:t>
            </w:r>
          </w:p>
        </w:tc>
        <w:tc>
          <w:tcPr>
            <w:tcW w:w="992" w:type="dxa"/>
          </w:tcPr>
          <w:p w14:paraId="36938C8E" w14:textId="127AB7B1"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Output</w:t>
            </w:r>
          </w:p>
        </w:tc>
        <w:tc>
          <w:tcPr>
            <w:tcW w:w="9314" w:type="dxa"/>
          </w:tcPr>
          <w:p w14:paraId="44BAA377" w14:textId="4EA3F807" w:rsidR="00DF5B69" w:rsidRDefault="002C05D3" w:rsidP="00664C43">
            <w:pPr>
              <w:suppressAutoHyphens w:val="0"/>
              <w:spacing w:after="0" w:line="240" w:lineRule="auto"/>
              <w:jc w:val="left"/>
              <w:rPr>
                <w:rFonts w:eastAsia="Calibri" w:cs="Times New Roman"/>
                <w:color w:val="000000"/>
                <w:kern w:val="0"/>
                <w:sz w:val="18"/>
                <w:szCs w:val="18"/>
                <w:lang w:eastAsia="en-US"/>
              </w:rPr>
            </w:pPr>
            <w:r>
              <w:rPr>
                <w:rFonts w:eastAsia="Calibri" w:cs="Times New Roman"/>
                <w:color w:val="000000"/>
                <w:kern w:val="0"/>
                <w:sz w:val="18"/>
                <w:szCs w:val="18"/>
                <w:lang w:eastAsia="en-US"/>
              </w:rPr>
              <w:t>Passport costs are less than X%</w:t>
            </w:r>
            <w:r w:rsidR="000D57A0">
              <w:rPr>
                <w:rStyle w:val="Referinnotdesubsol"/>
                <w:rFonts w:eastAsia="Calibri" w:cs="Times New Roman"/>
                <w:color w:val="000000"/>
                <w:kern w:val="0"/>
                <w:sz w:val="18"/>
                <w:szCs w:val="18"/>
                <w:lang w:eastAsia="en-US"/>
              </w:rPr>
              <w:footnoteReference w:id="2"/>
            </w:r>
            <w:r>
              <w:rPr>
                <w:rFonts w:eastAsia="Calibri" w:cs="Times New Roman"/>
                <w:color w:val="000000"/>
                <w:kern w:val="0"/>
                <w:sz w:val="18"/>
                <w:szCs w:val="18"/>
                <w:lang w:eastAsia="en-US"/>
              </w:rPr>
              <w:t xml:space="preserve"> of annual per capita income.</w:t>
            </w:r>
          </w:p>
          <w:p w14:paraId="1818CCBA" w14:textId="77777777" w:rsidR="002C05D3" w:rsidRDefault="002C05D3" w:rsidP="00664C43">
            <w:pPr>
              <w:suppressAutoHyphens w:val="0"/>
              <w:spacing w:after="0" w:line="240" w:lineRule="auto"/>
              <w:jc w:val="left"/>
              <w:rPr>
                <w:rFonts w:eastAsia="Calibri" w:cs="Times New Roman"/>
                <w:color w:val="000000"/>
                <w:kern w:val="0"/>
                <w:sz w:val="18"/>
                <w:szCs w:val="18"/>
                <w:lang w:eastAsia="en-US"/>
              </w:rPr>
            </w:pPr>
          </w:p>
          <w:p w14:paraId="70FC3FA0" w14:textId="77777777" w:rsidR="002C05D3" w:rsidRDefault="002C05D3" w:rsidP="00664C43">
            <w:pPr>
              <w:suppressAutoHyphens w:val="0"/>
              <w:spacing w:after="0" w:line="240" w:lineRule="auto"/>
              <w:jc w:val="left"/>
              <w:rPr>
                <w:rFonts w:eastAsia="Calibri" w:cs="Times New Roman"/>
                <w:color w:val="000000"/>
                <w:kern w:val="0"/>
                <w:sz w:val="18"/>
                <w:szCs w:val="18"/>
                <w:lang w:eastAsia="en-US"/>
              </w:rPr>
            </w:pPr>
            <w:r>
              <w:rPr>
                <w:rFonts w:eastAsia="Calibri" w:cs="Times New Roman"/>
                <w:color w:val="000000"/>
                <w:kern w:val="0"/>
                <w:sz w:val="18"/>
                <w:szCs w:val="18"/>
                <w:lang w:eastAsia="en-US"/>
              </w:rPr>
              <w:t>0 = no</w:t>
            </w:r>
          </w:p>
          <w:p w14:paraId="63185ACD" w14:textId="3F1B1344" w:rsidR="00DF5B69" w:rsidRPr="002C05D3" w:rsidRDefault="002C05D3" w:rsidP="002C05D3">
            <w:pPr>
              <w:suppressAutoHyphens w:val="0"/>
              <w:spacing w:after="0" w:line="240" w:lineRule="auto"/>
              <w:jc w:val="left"/>
              <w:rPr>
                <w:rFonts w:eastAsia="Calibri" w:cs="Times New Roman"/>
                <w:color w:val="000000"/>
                <w:kern w:val="0"/>
                <w:sz w:val="18"/>
                <w:szCs w:val="18"/>
                <w:lang w:eastAsia="en-US"/>
              </w:rPr>
            </w:pPr>
            <w:r>
              <w:rPr>
                <w:rFonts w:eastAsia="Calibri" w:cs="Times New Roman"/>
                <w:color w:val="000000"/>
                <w:kern w:val="0"/>
                <w:sz w:val="18"/>
                <w:szCs w:val="18"/>
                <w:lang w:eastAsia="en-US"/>
              </w:rPr>
              <w:t>10 = yes</w:t>
            </w:r>
          </w:p>
        </w:tc>
      </w:tr>
      <w:tr w:rsidR="00DF5B69" w:rsidRPr="000544A1" w14:paraId="37D7D65D" w14:textId="77777777" w:rsidTr="00DF5B69">
        <w:tc>
          <w:tcPr>
            <w:tcW w:w="1029" w:type="dxa"/>
          </w:tcPr>
          <w:p w14:paraId="4B8879BC" w14:textId="65EFB45D"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2.3</w:t>
            </w:r>
          </w:p>
        </w:tc>
        <w:tc>
          <w:tcPr>
            <w:tcW w:w="1276" w:type="dxa"/>
          </w:tcPr>
          <w:p w14:paraId="4DB2FBF6"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Migration</w:t>
            </w:r>
          </w:p>
        </w:tc>
        <w:tc>
          <w:tcPr>
            <w:tcW w:w="992" w:type="dxa"/>
          </w:tcPr>
          <w:p w14:paraId="6678DDF6" w14:textId="6E805188"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Output</w:t>
            </w:r>
          </w:p>
        </w:tc>
        <w:tc>
          <w:tcPr>
            <w:tcW w:w="9314" w:type="dxa"/>
          </w:tcPr>
          <w:p w14:paraId="45E81F27" w14:textId="097D94BB" w:rsidR="00DF5B69" w:rsidRPr="000544A1" w:rsidRDefault="00DF5B69" w:rsidP="00664C43">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t xml:space="preserve">There are no exit visas. </w:t>
            </w:r>
          </w:p>
          <w:p w14:paraId="74FFED83" w14:textId="77777777" w:rsidR="00DF5B69" w:rsidRPr="000544A1" w:rsidRDefault="00DF5B69" w:rsidP="00664C43">
            <w:pPr>
              <w:suppressAutoHyphens w:val="0"/>
              <w:spacing w:after="0" w:line="240" w:lineRule="auto"/>
              <w:jc w:val="left"/>
              <w:rPr>
                <w:rFonts w:eastAsia="Calibri" w:cs="Times New Roman"/>
                <w:color w:val="000000"/>
                <w:kern w:val="0"/>
                <w:sz w:val="18"/>
                <w:szCs w:val="18"/>
                <w:lang w:eastAsia="en-US"/>
              </w:rPr>
            </w:pPr>
          </w:p>
          <w:p w14:paraId="1947AC55" w14:textId="31BF880D" w:rsidR="00DF5B69" w:rsidRPr="000544A1" w:rsidRDefault="00DF5B69" w:rsidP="00664C43">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lastRenderedPageBreak/>
              <w:t xml:space="preserve">0 = existence of exit visas </w:t>
            </w:r>
          </w:p>
          <w:p w14:paraId="6DAB0886" w14:textId="0E2A45CB" w:rsidR="00DF5B69" w:rsidRPr="000544A1" w:rsidRDefault="00DF5B69" w:rsidP="00FB2A52">
            <w:pPr>
              <w:suppressAutoHyphens w:val="0"/>
              <w:autoSpaceDE w:val="0"/>
              <w:autoSpaceDN w:val="0"/>
              <w:adjustRightInd w:val="0"/>
              <w:spacing w:after="0" w:line="240" w:lineRule="auto"/>
              <w:jc w:val="left"/>
              <w:rPr>
                <w:rFonts w:eastAsia="Calibri" w:cs="Times New Roman"/>
                <w:kern w:val="0"/>
                <w:sz w:val="18"/>
                <w:szCs w:val="18"/>
                <w:lang w:eastAsia="en-US"/>
              </w:rPr>
            </w:pPr>
            <w:r w:rsidRPr="000544A1">
              <w:rPr>
                <w:rFonts w:eastAsia="Calibri" w:cs="Times New Roman"/>
                <w:color w:val="000000"/>
                <w:kern w:val="0"/>
                <w:sz w:val="18"/>
                <w:szCs w:val="18"/>
                <w:lang w:eastAsia="en-US"/>
              </w:rPr>
              <w:t xml:space="preserve">10 = no exit visas </w:t>
            </w:r>
          </w:p>
        </w:tc>
      </w:tr>
      <w:tr w:rsidR="00DF5B69" w:rsidRPr="000544A1" w14:paraId="02990F6C" w14:textId="77777777" w:rsidTr="00DF5B69">
        <w:tc>
          <w:tcPr>
            <w:tcW w:w="1029" w:type="dxa"/>
          </w:tcPr>
          <w:p w14:paraId="47A10884" w14:textId="7783E980"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lastRenderedPageBreak/>
              <w:t>2.4</w:t>
            </w:r>
          </w:p>
        </w:tc>
        <w:tc>
          <w:tcPr>
            <w:tcW w:w="1276" w:type="dxa"/>
          </w:tcPr>
          <w:p w14:paraId="07D07E8F"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Labour</w:t>
            </w:r>
          </w:p>
        </w:tc>
        <w:tc>
          <w:tcPr>
            <w:tcW w:w="992" w:type="dxa"/>
          </w:tcPr>
          <w:p w14:paraId="6493D5D1"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kern w:val="0"/>
                <w:sz w:val="18"/>
                <w:szCs w:val="18"/>
                <w:lang w:eastAsia="en-US"/>
              </w:rPr>
              <w:t>Input</w:t>
            </w:r>
          </w:p>
        </w:tc>
        <w:tc>
          <w:tcPr>
            <w:tcW w:w="9314" w:type="dxa"/>
          </w:tcPr>
          <w:p w14:paraId="167E90AA" w14:textId="77777777" w:rsidR="00DF5B69" w:rsidRPr="000544A1" w:rsidRDefault="00DF5B69" w:rsidP="00664C43">
            <w:pPr>
              <w:pStyle w:val="Default"/>
              <w:rPr>
                <w:rFonts w:ascii="Calibri" w:hAnsi="Calibri"/>
                <w:sz w:val="18"/>
                <w:szCs w:val="18"/>
                <w:lang w:val="en-GB"/>
              </w:rPr>
            </w:pPr>
            <w:r w:rsidRPr="000544A1">
              <w:rPr>
                <w:rFonts w:ascii="Calibri" w:hAnsi="Calibri"/>
                <w:sz w:val="18"/>
                <w:szCs w:val="18"/>
                <w:lang w:val="en-GB"/>
              </w:rPr>
              <w:t>The government has ratified the 1997 Private Employment Agencies Convention (no.181)</w:t>
            </w:r>
            <w:r w:rsidRPr="000544A1" w:rsidDel="00AF2862">
              <w:rPr>
                <w:rStyle w:val="Referincomentariu"/>
                <w:color w:val="auto"/>
                <w:lang w:val="en-GB"/>
              </w:rPr>
              <w:t xml:space="preserve"> </w:t>
            </w:r>
            <w:r w:rsidRPr="000544A1">
              <w:rPr>
                <w:rFonts w:ascii="Calibri" w:hAnsi="Calibri"/>
                <w:sz w:val="18"/>
                <w:szCs w:val="18"/>
                <w:lang w:val="en-GB"/>
              </w:rPr>
              <w:t xml:space="preserve">– ILO. </w:t>
            </w:r>
          </w:p>
          <w:p w14:paraId="10808627" w14:textId="77777777" w:rsidR="00DF5B69" w:rsidRPr="000544A1" w:rsidRDefault="00DF5B69" w:rsidP="00664C43">
            <w:pPr>
              <w:pStyle w:val="Default"/>
              <w:rPr>
                <w:rFonts w:ascii="Calibri" w:hAnsi="Calibri"/>
                <w:sz w:val="18"/>
                <w:szCs w:val="18"/>
                <w:lang w:val="en-GB"/>
              </w:rPr>
            </w:pPr>
          </w:p>
          <w:p w14:paraId="2DA74915" w14:textId="77777777" w:rsidR="00DF5B69" w:rsidRPr="000544A1" w:rsidRDefault="00DF5B69" w:rsidP="00664C43">
            <w:pPr>
              <w:suppressAutoHyphens w:val="0"/>
              <w:spacing w:after="0" w:line="240" w:lineRule="auto"/>
              <w:jc w:val="left"/>
              <w:rPr>
                <w:sz w:val="18"/>
                <w:szCs w:val="18"/>
              </w:rPr>
            </w:pPr>
            <w:r w:rsidRPr="000544A1">
              <w:rPr>
                <w:sz w:val="18"/>
                <w:szCs w:val="18"/>
              </w:rPr>
              <w:t>0 = no</w:t>
            </w:r>
          </w:p>
          <w:p w14:paraId="05AB65FA" w14:textId="77777777" w:rsidR="00DF5B69" w:rsidRPr="000544A1" w:rsidRDefault="00DF5B69" w:rsidP="00664C43">
            <w:pPr>
              <w:suppressAutoHyphens w:val="0"/>
              <w:spacing w:after="0" w:line="240" w:lineRule="auto"/>
              <w:jc w:val="left"/>
              <w:rPr>
                <w:sz w:val="18"/>
                <w:szCs w:val="18"/>
              </w:rPr>
            </w:pPr>
            <w:r w:rsidRPr="000544A1">
              <w:rPr>
                <w:sz w:val="18"/>
                <w:szCs w:val="18"/>
              </w:rPr>
              <w:t xml:space="preserve">5 = has been ratified </w:t>
            </w:r>
          </w:p>
          <w:p w14:paraId="1B73D5E7"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sz w:val="18"/>
                <w:szCs w:val="18"/>
              </w:rPr>
              <w:t>10 = convention has been ratified and implemented into national legal framework</w:t>
            </w:r>
          </w:p>
        </w:tc>
      </w:tr>
      <w:tr w:rsidR="00DF5B69" w:rsidRPr="000544A1" w14:paraId="1005CC99" w14:textId="77777777" w:rsidTr="00DF5B69">
        <w:tc>
          <w:tcPr>
            <w:tcW w:w="1029" w:type="dxa"/>
          </w:tcPr>
          <w:p w14:paraId="7969592D" w14:textId="1AA1BEBA"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2.5</w:t>
            </w:r>
          </w:p>
        </w:tc>
        <w:tc>
          <w:tcPr>
            <w:tcW w:w="1276" w:type="dxa"/>
          </w:tcPr>
          <w:p w14:paraId="598F101A"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Labour</w:t>
            </w:r>
          </w:p>
        </w:tc>
        <w:tc>
          <w:tcPr>
            <w:tcW w:w="992" w:type="dxa"/>
          </w:tcPr>
          <w:p w14:paraId="60699FEB"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color w:val="000000"/>
                <w:kern w:val="0"/>
                <w:sz w:val="18"/>
                <w:szCs w:val="18"/>
                <w:lang w:eastAsia="en-US"/>
              </w:rPr>
              <w:t>Output</w:t>
            </w:r>
          </w:p>
        </w:tc>
        <w:tc>
          <w:tcPr>
            <w:tcW w:w="9314" w:type="dxa"/>
          </w:tcPr>
          <w:p w14:paraId="4F28D87B"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t>Regulation framework for recruitment agencies in place, e.g., existence of a monitoring agency.</w:t>
            </w:r>
          </w:p>
          <w:p w14:paraId="6D05C5EA"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t xml:space="preserve"> </w:t>
            </w:r>
          </w:p>
          <w:p w14:paraId="11869D0B"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t>0 = no</w:t>
            </w:r>
          </w:p>
          <w:p w14:paraId="74436C5C" w14:textId="77777777" w:rsidR="00DF5B69" w:rsidRPr="000544A1" w:rsidRDefault="00DF5B69" w:rsidP="006D1804">
            <w:pPr>
              <w:suppressAutoHyphens w:val="0"/>
              <w:spacing w:after="0" w:line="240" w:lineRule="auto"/>
              <w:jc w:val="left"/>
              <w:rPr>
                <w:rFonts w:eastAsia="Calibri" w:cs="Times New Roman"/>
                <w:color w:val="000000"/>
                <w:kern w:val="0"/>
                <w:sz w:val="18"/>
                <w:szCs w:val="18"/>
                <w:lang w:eastAsia="en-US"/>
              </w:rPr>
            </w:pPr>
            <w:r w:rsidRPr="000544A1">
              <w:rPr>
                <w:rFonts w:eastAsia="Calibri" w:cs="Times New Roman"/>
                <w:color w:val="000000"/>
                <w:kern w:val="0"/>
                <w:sz w:val="18"/>
                <w:szCs w:val="18"/>
                <w:lang w:eastAsia="en-US"/>
              </w:rPr>
              <w:t>10 = yes</w:t>
            </w:r>
          </w:p>
        </w:tc>
      </w:tr>
      <w:tr w:rsidR="00DF5B69" w:rsidRPr="000544A1" w14:paraId="48400F64" w14:textId="77777777" w:rsidTr="00DF5B69">
        <w:tc>
          <w:tcPr>
            <w:tcW w:w="1029" w:type="dxa"/>
          </w:tcPr>
          <w:p w14:paraId="531242F9" w14:textId="06C43373"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2.6</w:t>
            </w:r>
          </w:p>
        </w:tc>
        <w:tc>
          <w:tcPr>
            <w:tcW w:w="1276" w:type="dxa"/>
          </w:tcPr>
          <w:p w14:paraId="7EA01B14"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Labour</w:t>
            </w:r>
          </w:p>
        </w:tc>
        <w:tc>
          <w:tcPr>
            <w:tcW w:w="992" w:type="dxa"/>
          </w:tcPr>
          <w:p w14:paraId="5F3BB930"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Outcome</w:t>
            </w:r>
          </w:p>
        </w:tc>
        <w:tc>
          <w:tcPr>
            <w:tcW w:w="9314" w:type="dxa"/>
          </w:tcPr>
          <w:p w14:paraId="113C4812" w14:textId="7D5D76DF" w:rsidR="00DF5B69" w:rsidRPr="00B82E61" w:rsidRDefault="00DF5B69" w:rsidP="006D1804">
            <w:pPr>
              <w:suppressAutoHyphens w:val="0"/>
              <w:spacing w:after="0" w:line="240" w:lineRule="auto"/>
              <w:jc w:val="left"/>
              <w:rPr>
                <w:rFonts w:asciiTheme="majorHAnsi" w:eastAsia="Calibri" w:hAnsiTheme="majorHAnsi" w:cs="Times New Roman"/>
                <w:kern w:val="0"/>
                <w:sz w:val="18"/>
                <w:szCs w:val="18"/>
                <w:lang w:eastAsia="en-US"/>
              </w:rPr>
            </w:pPr>
            <w:r w:rsidRPr="00B82E61">
              <w:rPr>
                <w:rFonts w:asciiTheme="majorHAnsi" w:eastAsia="Calibri" w:hAnsiTheme="majorHAnsi" w:cs="Times New Roman"/>
                <w:kern w:val="0"/>
                <w:sz w:val="18"/>
                <w:szCs w:val="18"/>
                <w:lang w:eastAsia="en-US"/>
              </w:rPr>
              <w:t>No recruitment costs for migrants.</w:t>
            </w:r>
          </w:p>
          <w:p w14:paraId="50A5A804" w14:textId="77777777" w:rsidR="00DF5B69" w:rsidRPr="00B82E61" w:rsidRDefault="00DF5B69" w:rsidP="006D1804">
            <w:pPr>
              <w:suppressAutoHyphens w:val="0"/>
              <w:spacing w:after="0" w:line="240" w:lineRule="auto"/>
              <w:jc w:val="left"/>
              <w:rPr>
                <w:rFonts w:asciiTheme="majorHAnsi" w:eastAsia="Calibri" w:hAnsiTheme="majorHAnsi" w:cs="Times New Roman"/>
                <w:kern w:val="0"/>
                <w:sz w:val="18"/>
                <w:szCs w:val="18"/>
                <w:lang w:eastAsia="en-US"/>
              </w:rPr>
            </w:pPr>
          </w:p>
          <w:p w14:paraId="7E2B743F" w14:textId="77777777" w:rsidR="00DF5B69" w:rsidRPr="00B82E61" w:rsidRDefault="00DF5B69" w:rsidP="006D1804">
            <w:pPr>
              <w:suppressAutoHyphens w:val="0"/>
              <w:spacing w:after="0" w:line="240" w:lineRule="auto"/>
              <w:jc w:val="left"/>
              <w:rPr>
                <w:rFonts w:asciiTheme="majorHAnsi" w:eastAsia="Calibri" w:hAnsiTheme="majorHAnsi" w:cs="Times New Roman"/>
                <w:kern w:val="0"/>
                <w:sz w:val="18"/>
                <w:szCs w:val="18"/>
                <w:lang w:eastAsia="en-US"/>
              </w:rPr>
            </w:pPr>
            <w:r w:rsidRPr="00B82E61">
              <w:rPr>
                <w:rFonts w:asciiTheme="majorHAnsi" w:eastAsia="Calibri" w:hAnsiTheme="majorHAnsi" w:cs="Times New Roman"/>
                <w:kern w:val="0"/>
                <w:sz w:val="18"/>
                <w:szCs w:val="18"/>
                <w:lang w:eastAsia="en-US"/>
              </w:rPr>
              <w:t>0 = costs to migrants</w:t>
            </w:r>
          </w:p>
          <w:p w14:paraId="64178A13" w14:textId="77777777" w:rsidR="00DF5B69" w:rsidRPr="00B82E61" w:rsidRDefault="00DF5B69" w:rsidP="006D1804">
            <w:pPr>
              <w:suppressAutoHyphens w:val="0"/>
              <w:spacing w:after="0" w:line="240" w:lineRule="auto"/>
              <w:jc w:val="left"/>
              <w:rPr>
                <w:rFonts w:asciiTheme="majorHAnsi" w:eastAsia="Calibri" w:hAnsiTheme="majorHAnsi" w:cs="Times New Roman"/>
                <w:kern w:val="0"/>
                <w:sz w:val="18"/>
                <w:szCs w:val="18"/>
                <w:lang w:eastAsia="en-US"/>
              </w:rPr>
            </w:pPr>
            <w:r w:rsidRPr="00B82E61">
              <w:rPr>
                <w:rFonts w:asciiTheme="majorHAnsi" w:eastAsia="Calibri" w:hAnsiTheme="majorHAnsi" w:cs="Times New Roman"/>
                <w:kern w:val="0"/>
                <w:sz w:val="18"/>
                <w:szCs w:val="18"/>
                <w:lang w:eastAsia="en-US"/>
              </w:rPr>
              <w:t>5 = fees chargeable are limited by law</w:t>
            </w:r>
          </w:p>
          <w:p w14:paraId="083DB7D0" w14:textId="77777777" w:rsidR="00DF5B69" w:rsidRPr="00B82E61" w:rsidRDefault="00DF5B69" w:rsidP="006D1804">
            <w:pPr>
              <w:suppressAutoHyphens w:val="0"/>
              <w:spacing w:after="0" w:line="240" w:lineRule="auto"/>
              <w:jc w:val="left"/>
              <w:rPr>
                <w:rFonts w:asciiTheme="majorHAnsi" w:eastAsia="Calibri" w:hAnsiTheme="majorHAnsi" w:cs="Times New Roman"/>
                <w:kern w:val="0"/>
                <w:sz w:val="18"/>
                <w:szCs w:val="18"/>
                <w:lang w:eastAsia="en-US"/>
              </w:rPr>
            </w:pPr>
            <w:r w:rsidRPr="00B82E61">
              <w:rPr>
                <w:rFonts w:asciiTheme="majorHAnsi" w:eastAsia="Calibri" w:hAnsiTheme="majorHAnsi" w:cs="Times New Roman"/>
                <w:kern w:val="0"/>
                <w:sz w:val="18"/>
                <w:szCs w:val="18"/>
                <w:lang w:eastAsia="en-US"/>
              </w:rPr>
              <w:t>10 = no costs to migrants</w:t>
            </w:r>
          </w:p>
          <w:p w14:paraId="42C14FA0" w14:textId="77777777" w:rsidR="00C70F71" w:rsidRDefault="00C70F71" w:rsidP="006D1804">
            <w:pPr>
              <w:suppressAutoHyphens w:val="0"/>
              <w:spacing w:after="0" w:line="240" w:lineRule="auto"/>
              <w:jc w:val="left"/>
              <w:rPr>
                <w:rFonts w:eastAsia="Calibri" w:cs="Times New Roman"/>
                <w:kern w:val="0"/>
                <w:sz w:val="18"/>
                <w:szCs w:val="18"/>
                <w:lang w:eastAsia="en-US"/>
              </w:rPr>
            </w:pPr>
          </w:p>
          <w:p w14:paraId="7556C9DE" w14:textId="77777777" w:rsidR="006373AF" w:rsidRDefault="006373AF" w:rsidP="006D1804">
            <w:pPr>
              <w:suppressAutoHyphens w:val="0"/>
              <w:spacing w:after="0" w:line="240" w:lineRule="auto"/>
              <w:jc w:val="left"/>
              <w:rPr>
                <w:rFonts w:eastAsia="Calibri" w:cs="Times New Roman"/>
                <w:kern w:val="0"/>
                <w:sz w:val="18"/>
                <w:szCs w:val="18"/>
                <w:lang w:eastAsia="en-US"/>
              </w:rPr>
            </w:pPr>
          </w:p>
          <w:p w14:paraId="7618D809" w14:textId="77777777" w:rsidR="00C70F71" w:rsidRPr="000544A1" w:rsidRDefault="00C70F71" w:rsidP="006D1804">
            <w:pPr>
              <w:suppressAutoHyphens w:val="0"/>
              <w:spacing w:after="0" w:line="240" w:lineRule="auto"/>
              <w:jc w:val="left"/>
              <w:rPr>
                <w:rFonts w:eastAsia="Calibri" w:cs="Times New Roman"/>
                <w:kern w:val="0"/>
                <w:sz w:val="18"/>
                <w:szCs w:val="18"/>
                <w:lang w:eastAsia="en-US"/>
              </w:rPr>
            </w:pPr>
          </w:p>
        </w:tc>
      </w:tr>
      <w:tr w:rsidR="00DF5B69" w:rsidRPr="000544A1" w14:paraId="634C1A41" w14:textId="77777777" w:rsidTr="00DF5B69">
        <w:tc>
          <w:tcPr>
            <w:tcW w:w="1029" w:type="dxa"/>
          </w:tcPr>
          <w:p w14:paraId="4F2447D5" w14:textId="2FF666D2"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2.7</w:t>
            </w:r>
          </w:p>
        </w:tc>
        <w:tc>
          <w:tcPr>
            <w:tcW w:w="1276" w:type="dxa"/>
          </w:tcPr>
          <w:p w14:paraId="3DE49131"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Education</w:t>
            </w:r>
          </w:p>
        </w:tc>
        <w:tc>
          <w:tcPr>
            <w:tcW w:w="992" w:type="dxa"/>
          </w:tcPr>
          <w:p w14:paraId="04A2E457"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Output</w:t>
            </w:r>
          </w:p>
        </w:tc>
        <w:tc>
          <w:tcPr>
            <w:tcW w:w="9314" w:type="dxa"/>
          </w:tcPr>
          <w:p w14:paraId="781E816B" w14:textId="4BC33E22"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 xml:space="preserve">There </w:t>
            </w:r>
            <w:r w:rsidR="00ED7964">
              <w:rPr>
                <w:rFonts w:eastAsia="Calibri" w:cs="Times New Roman"/>
                <w:kern w:val="0"/>
                <w:sz w:val="18"/>
                <w:szCs w:val="18"/>
                <w:lang w:eastAsia="en-US"/>
              </w:rPr>
              <w:t>are mechanisms</w:t>
            </w:r>
            <w:r w:rsidRPr="000544A1">
              <w:rPr>
                <w:rFonts w:eastAsia="Calibri" w:cs="Times New Roman"/>
                <w:kern w:val="0"/>
                <w:sz w:val="18"/>
                <w:szCs w:val="18"/>
                <w:lang w:eastAsia="en-US"/>
              </w:rPr>
              <w:t xml:space="preserve"> in place to support the recognition of certificates, degrees and skills abroad (e.g., qualifications frameworks</w:t>
            </w:r>
            <w:r w:rsidR="002E53BE">
              <w:rPr>
                <w:rFonts w:eastAsia="Calibri" w:cs="Times New Roman"/>
                <w:kern w:val="0"/>
                <w:sz w:val="18"/>
                <w:szCs w:val="18"/>
                <w:lang w:eastAsia="en-US"/>
              </w:rPr>
              <w:t xml:space="preserve"> and mutual recognition agreements</w:t>
            </w:r>
            <w:r w:rsidRPr="000544A1">
              <w:rPr>
                <w:rFonts w:eastAsia="Calibri" w:cs="Times New Roman"/>
                <w:kern w:val="0"/>
                <w:sz w:val="18"/>
                <w:szCs w:val="18"/>
                <w:lang w:eastAsia="en-US"/>
              </w:rPr>
              <w:t>).</w:t>
            </w:r>
          </w:p>
          <w:p w14:paraId="4557DF54"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p>
          <w:p w14:paraId="571F844A"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0 = no</w:t>
            </w:r>
          </w:p>
          <w:p w14:paraId="27BEC99D" w14:textId="05A64673" w:rsidR="00DF5B69" w:rsidRPr="000544A1" w:rsidRDefault="00DF5B69" w:rsidP="00E819B6">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10 = yes</w:t>
            </w:r>
          </w:p>
        </w:tc>
      </w:tr>
      <w:tr w:rsidR="00DF5B69" w:rsidRPr="000544A1" w14:paraId="6C67CE14" w14:textId="77777777" w:rsidTr="00DF5B69">
        <w:tc>
          <w:tcPr>
            <w:tcW w:w="1029" w:type="dxa"/>
          </w:tcPr>
          <w:p w14:paraId="2C3339DF" w14:textId="1AD347EE" w:rsidR="00DF5B69" w:rsidRPr="000544A1" w:rsidRDefault="00DF5B69" w:rsidP="006D1804">
            <w:pPr>
              <w:suppressAutoHyphens w:val="0"/>
              <w:spacing w:after="0" w:line="240" w:lineRule="auto"/>
              <w:jc w:val="left"/>
              <w:rPr>
                <w:rFonts w:eastAsia="Calibri" w:cs="Times New Roman"/>
                <w:kern w:val="0"/>
                <w:sz w:val="18"/>
                <w:szCs w:val="18"/>
                <w:lang w:eastAsia="en-US"/>
              </w:rPr>
            </w:pPr>
            <w:r>
              <w:rPr>
                <w:rFonts w:eastAsia="Calibri" w:cs="Times New Roman"/>
                <w:kern w:val="0"/>
                <w:sz w:val="18"/>
                <w:szCs w:val="18"/>
                <w:lang w:eastAsia="en-US"/>
              </w:rPr>
              <w:t>2.8</w:t>
            </w:r>
          </w:p>
        </w:tc>
        <w:tc>
          <w:tcPr>
            <w:tcW w:w="1276" w:type="dxa"/>
          </w:tcPr>
          <w:p w14:paraId="443FF3B5"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kern w:val="0"/>
                <w:sz w:val="18"/>
                <w:szCs w:val="18"/>
                <w:lang w:eastAsia="en-US"/>
              </w:rPr>
              <w:t>Taxation</w:t>
            </w:r>
          </w:p>
        </w:tc>
        <w:tc>
          <w:tcPr>
            <w:tcW w:w="992" w:type="dxa"/>
          </w:tcPr>
          <w:p w14:paraId="64753C78" w14:textId="77777777" w:rsidR="00DF5B69" w:rsidRPr="000544A1" w:rsidRDefault="00DF5B69" w:rsidP="006D1804">
            <w:pPr>
              <w:suppressAutoHyphens w:val="0"/>
              <w:spacing w:after="0" w:line="240" w:lineRule="auto"/>
              <w:jc w:val="left"/>
              <w:rPr>
                <w:rFonts w:eastAsia="Calibri" w:cs="Times New Roman"/>
                <w:kern w:val="0"/>
                <w:sz w:val="18"/>
                <w:szCs w:val="18"/>
                <w:lang w:eastAsia="en-US"/>
              </w:rPr>
            </w:pPr>
            <w:r w:rsidRPr="000544A1">
              <w:rPr>
                <w:rFonts w:eastAsia="Calibri" w:cs="Times New Roman"/>
                <w:color w:val="000000"/>
                <w:kern w:val="0"/>
                <w:sz w:val="18"/>
                <w:szCs w:val="18"/>
                <w:lang w:eastAsia="en-US"/>
              </w:rPr>
              <w:t>Output</w:t>
            </w:r>
          </w:p>
        </w:tc>
        <w:tc>
          <w:tcPr>
            <w:tcW w:w="9314" w:type="dxa"/>
          </w:tcPr>
          <w:p w14:paraId="009DC002" w14:textId="56E9505D" w:rsidR="00DF5B69" w:rsidRPr="000544A1" w:rsidRDefault="00DF5B69" w:rsidP="006D1804">
            <w:pPr>
              <w:spacing w:line="240" w:lineRule="auto"/>
              <w:rPr>
                <w:sz w:val="18"/>
                <w:szCs w:val="18"/>
              </w:rPr>
            </w:pPr>
            <w:r w:rsidRPr="000544A1">
              <w:rPr>
                <w:sz w:val="18"/>
                <w:szCs w:val="18"/>
              </w:rPr>
              <w:t xml:space="preserve">The government has agreements with main countries of destination to avoid double taxation. </w:t>
            </w:r>
          </w:p>
          <w:p w14:paraId="3EDBBC3B" w14:textId="34B187B4" w:rsidR="00DF5B69" w:rsidRDefault="00DF5B69" w:rsidP="006D1804">
            <w:pPr>
              <w:suppressAutoHyphens w:val="0"/>
              <w:spacing w:after="0" w:line="240" w:lineRule="auto"/>
              <w:jc w:val="left"/>
              <w:rPr>
                <w:sz w:val="18"/>
                <w:szCs w:val="18"/>
              </w:rPr>
            </w:pPr>
            <w:r w:rsidRPr="000544A1">
              <w:rPr>
                <w:sz w:val="18"/>
                <w:szCs w:val="18"/>
              </w:rPr>
              <w:t>0 = no agreements</w:t>
            </w:r>
            <w:r w:rsidR="00EE7AED">
              <w:rPr>
                <w:sz w:val="18"/>
                <w:szCs w:val="18"/>
              </w:rPr>
              <w:t xml:space="preserve"> with main countries of destination</w:t>
            </w:r>
          </w:p>
          <w:p w14:paraId="0ED1036C" w14:textId="77777777" w:rsidR="00DF5B69" w:rsidRPr="000544A1" w:rsidRDefault="00DF5B69" w:rsidP="006D1804">
            <w:pPr>
              <w:suppressAutoHyphens w:val="0"/>
              <w:spacing w:after="0" w:line="240" w:lineRule="auto"/>
              <w:jc w:val="left"/>
              <w:rPr>
                <w:rFonts w:eastAsia="Calibri" w:cs="Times New Roman"/>
                <w:color w:val="FF0000"/>
                <w:kern w:val="0"/>
                <w:sz w:val="18"/>
                <w:szCs w:val="18"/>
                <w:lang w:eastAsia="en-US"/>
              </w:rPr>
            </w:pPr>
            <w:r w:rsidRPr="000544A1">
              <w:rPr>
                <w:sz w:val="18"/>
                <w:szCs w:val="18"/>
              </w:rPr>
              <w:t>10 = agreements with main countries of destination</w:t>
            </w:r>
          </w:p>
        </w:tc>
      </w:tr>
    </w:tbl>
    <w:p w14:paraId="6559D7DD" w14:textId="77777777" w:rsidR="00A9279B" w:rsidRPr="000544A1" w:rsidRDefault="00A9279B" w:rsidP="00A9279B">
      <w:pPr>
        <w:spacing w:line="240" w:lineRule="auto"/>
        <w:rPr>
          <w:sz w:val="18"/>
          <w:szCs w:val="18"/>
        </w:rPr>
      </w:pPr>
    </w:p>
    <w:p w14:paraId="204E81A8" w14:textId="234F3BB9" w:rsidR="00E54411" w:rsidRPr="000544A1" w:rsidRDefault="00E54411" w:rsidP="00E54411">
      <w:pPr>
        <w:spacing w:after="0" w:line="240" w:lineRule="auto"/>
        <w:jc w:val="center"/>
        <w:rPr>
          <w:rFonts w:asciiTheme="majorHAnsi" w:hAnsiTheme="majorHAnsi"/>
          <w:b/>
          <w:color w:val="000000"/>
          <w:sz w:val="32"/>
          <w:szCs w:val="32"/>
        </w:rPr>
      </w:pPr>
      <w:r w:rsidRPr="000544A1">
        <w:rPr>
          <w:rFonts w:asciiTheme="majorHAnsi" w:hAnsiTheme="majorHAnsi"/>
          <w:b/>
          <w:color w:val="000000"/>
          <w:sz w:val="32"/>
          <w:szCs w:val="32"/>
        </w:rPr>
        <w:t>Objective</w:t>
      </w:r>
      <w:r w:rsidR="00D179A0">
        <w:rPr>
          <w:rFonts w:asciiTheme="majorHAnsi" w:hAnsiTheme="majorHAnsi"/>
          <w:b/>
          <w:color w:val="000000"/>
          <w:sz w:val="32"/>
          <w:szCs w:val="32"/>
        </w:rPr>
        <w:t xml:space="preserve"> </w:t>
      </w:r>
      <w:r w:rsidR="00FB2A52">
        <w:rPr>
          <w:rFonts w:asciiTheme="majorHAnsi" w:hAnsiTheme="majorHAnsi"/>
          <w:b/>
          <w:color w:val="000000"/>
          <w:sz w:val="32"/>
          <w:szCs w:val="32"/>
        </w:rPr>
        <w:t>3</w:t>
      </w:r>
      <w:r w:rsidRPr="000544A1">
        <w:rPr>
          <w:rFonts w:asciiTheme="majorHAnsi" w:hAnsiTheme="majorHAnsi"/>
          <w:b/>
          <w:color w:val="000000"/>
          <w:sz w:val="32"/>
          <w:szCs w:val="32"/>
        </w:rPr>
        <w:t>: Protect the rights of migrants and their families</w:t>
      </w:r>
    </w:p>
    <w:p w14:paraId="2CBD4AF7" w14:textId="77777777" w:rsidR="00E54411" w:rsidRDefault="00E54411" w:rsidP="00AA6D9E">
      <w:pPr>
        <w:spacing w:after="0" w:line="240" w:lineRule="auto"/>
        <w:rPr>
          <w:rFonts w:asciiTheme="majorHAnsi" w:hAnsiTheme="majorHAnsi" w:cs="Garamond"/>
          <w:i/>
          <w:color w:val="000000"/>
          <w:sz w:val="24"/>
          <w:szCs w:val="24"/>
        </w:rPr>
      </w:pPr>
    </w:p>
    <w:p w14:paraId="4FBCEE87" w14:textId="77777777" w:rsidR="00E819B6" w:rsidRPr="000544A1" w:rsidRDefault="00E819B6" w:rsidP="00AA6D9E">
      <w:pPr>
        <w:spacing w:after="0" w:line="240" w:lineRule="auto"/>
        <w:rPr>
          <w:rFonts w:asciiTheme="majorHAnsi" w:hAnsiTheme="majorHAnsi" w:cs="Garamond"/>
          <w:i/>
          <w:color w:val="000000"/>
          <w:sz w:val="24"/>
          <w:szCs w:val="24"/>
        </w:rPr>
      </w:pPr>
    </w:p>
    <w:tbl>
      <w:tblPr>
        <w:tblStyle w:val="Tabelgril"/>
        <w:tblW w:w="0" w:type="auto"/>
        <w:tblLayout w:type="fixed"/>
        <w:tblLook w:val="04A0" w:firstRow="1" w:lastRow="0" w:firstColumn="1" w:lastColumn="0" w:noHBand="0" w:noVBand="1"/>
      </w:tblPr>
      <w:tblGrid>
        <w:gridCol w:w="1134"/>
        <w:gridCol w:w="1276"/>
        <w:gridCol w:w="992"/>
        <w:gridCol w:w="9180"/>
      </w:tblGrid>
      <w:tr w:rsidR="00DF5B69" w:rsidRPr="000544A1" w14:paraId="0E9B2750" w14:textId="77777777" w:rsidTr="00DF5B69">
        <w:trPr>
          <w:tblHeader/>
        </w:trPr>
        <w:tc>
          <w:tcPr>
            <w:tcW w:w="1134" w:type="dxa"/>
            <w:shd w:val="clear" w:color="auto" w:fill="DEEAF6" w:themeFill="accent1" w:themeFillTint="33"/>
          </w:tcPr>
          <w:p w14:paraId="75724232"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 xml:space="preserve">Indicator No. </w:t>
            </w:r>
          </w:p>
        </w:tc>
        <w:tc>
          <w:tcPr>
            <w:tcW w:w="1276" w:type="dxa"/>
            <w:shd w:val="clear" w:color="auto" w:fill="DEEAF6" w:themeFill="accent1" w:themeFillTint="33"/>
          </w:tcPr>
          <w:p w14:paraId="3B627645"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Policy Area</w:t>
            </w:r>
          </w:p>
        </w:tc>
        <w:tc>
          <w:tcPr>
            <w:tcW w:w="992" w:type="dxa"/>
            <w:shd w:val="clear" w:color="auto" w:fill="DEEAF6" w:themeFill="accent1" w:themeFillTint="33"/>
          </w:tcPr>
          <w:p w14:paraId="4B600384"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Indicator Type</w:t>
            </w:r>
          </w:p>
        </w:tc>
        <w:tc>
          <w:tcPr>
            <w:tcW w:w="9180" w:type="dxa"/>
            <w:shd w:val="clear" w:color="auto" w:fill="DEEAF6" w:themeFill="accent1" w:themeFillTint="33"/>
          </w:tcPr>
          <w:p w14:paraId="3D73BF9C" w14:textId="77777777" w:rsidR="00DF5B69" w:rsidRPr="000544A1" w:rsidRDefault="00DF5B69" w:rsidP="00AA6D9E">
            <w:pPr>
              <w:spacing w:after="0" w:line="240" w:lineRule="auto"/>
              <w:rPr>
                <w:rFonts w:eastAsia="Calibri" w:cs="Times New Roman"/>
                <w:b/>
                <w:color w:val="000000"/>
                <w:sz w:val="18"/>
                <w:szCs w:val="18"/>
              </w:rPr>
            </w:pPr>
            <w:r w:rsidRPr="000544A1">
              <w:rPr>
                <w:rFonts w:eastAsia="Calibri" w:cs="Times New Roman"/>
                <w:b/>
                <w:sz w:val="18"/>
                <w:szCs w:val="18"/>
              </w:rPr>
              <w:t>Indicator Measurement</w:t>
            </w:r>
          </w:p>
        </w:tc>
      </w:tr>
      <w:tr w:rsidR="00DF5B69" w:rsidRPr="000544A1" w14:paraId="50CD2F45" w14:textId="77777777" w:rsidTr="00DF5B69">
        <w:tc>
          <w:tcPr>
            <w:tcW w:w="1134" w:type="dxa"/>
          </w:tcPr>
          <w:p w14:paraId="3D346802" w14:textId="1D1E7BBD"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3.1</w:t>
            </w:r>
          </w:p>
        </w:tc>
        <w:tc>
          <w:tcPr>
            <w:tcW w:w="1276" w:type="dxa"/>
          </w:tcPr>
          <w:p w14:paraId="1E86E594"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Foreign affairs</w:t>
            </w:r>
          </w:p>
        </w:tc>
        <w:tc>
          <w:tcPr>
            <w:tcW w:w="992" w:type="dxa"/>
          </w:tcPr>
          <w:p w14:paraId="382211DE"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color w:val="000000"/>
                <w:sz w:val="18"/>
                <w:szCs w:val="18"/>
              </w:rPr>
              <w:t>Output</w:t>
            </w:r>
          </w:p>
        </w:tc>
        <w:tc>
          <w:tcPr>
            <w:tcW w:w="9180" w:type="dxa"/>
          </w:tcPr>
          <w:p w14:paraId="0E1446D8"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Consular services in main destination countries include a special mechanism for protecting migrants’ rights (e.g., labour attachés or direct hotlines.)</w:t>
            </w:r>
          </w:p>
          <w:p w14:paraId="3AEE941A" w14:textId="77777777" w:rsidR="00DF5B69" w:rsidRPr="000544A1" w:rsidRDefault="00DF5B69" w:rsidP="00AA6D9E">
            <w:pPr>
              <w:spacing w:after="0" w:line="240" w:lineRule="auto"/>
              <w:rPr>
                <w:rFonts w:eastAsia="Calibri" w:cs="Times New Roman"/>
                <w:sz w:val="18"/>
                <w:szCs w:val="18"/>
              </w:rPr>
            </w:pPr>
          </w:p>
          <w:p w14:paraId="6DB475CB"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0 = no</w:t>
            </w:r>
          </w:p>
          <w:p w14:paraId="3F17F078"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10 = yes</w:t>
            </w:r>
          </w:p>
        </w:tc>
      </w:tr>
      <w:tr w:rsidR="00DF5B69" w:rsidRPr="000544A1" w14:paraId="4A42CC82" w14:textId="77777777" w:rsidTr="00DF5B69">
        <w:tc>
          <w:tcPr>
            <w:tcW w:w="1134" w:type="dxa"/>
            <w:tcBorders>
              <w:bottom w:val="single" w:sz="4" w:space="0" w:color="auto"/>
            </w:tcBorders>
          </w:tcPr>
          <w:p w14:paraId="6132B0D5" w14:textId="357DC4A6"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lastRenderedPageBreak/>
              <w:t>3.2</w:t>
            </w:r>
          </w:p>
        </w:tc>
        <w:tc>
          <w:tcPr>
            <w:tcW w:w="1276" w:type="dxa"/>
            <w:tcBorders>
              <w:bottom w:val="single" w:sz="4" w:space="0" w:color="auto"/>
            </w:tcBorders>
          </w:tcPr>
          <w:p w14:paraId="70B6BD4F"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Social security</w:t>
            </w:r>
          </w:p>
        </w:tc>
        <w:tc>
          <w:tcPr>
            <w:tcW w:w="992" w:type="dxa"/>
            <w:tcBorders>
              <w:bottom w:val="single" w:sz="4" w:space="0" w:color="auto"/>
            </w:tcBorders>
          </w:tcPr>
          <w:p w14:paraId="2D89690D" w14:textId="77777777" w:rsidR="00DF5B69" w:rsidRPr="000544A1" w:rsidRDefault="00DF5B69" w:rsidP="00AA6D9E">
            <w:pPr>
              <w:spacing w:after="0" w:line="240" w:lineRule="auto"/>
              <w:rPr>
                <w:rFonts w:eastAsia="Calibri" w:cs="Times New Roman"/>
                <w:color w:val="000000"/>
                <w:sz w:val="18"/>
                <w:szCs w:val="18"/>
              </w:rPr>
            </w:pPr>
            <w:r w:rsidRPr="000544A1">
              <w:rPr>
                <w:rFonts w:eastAsia="Calibri" w:cs="Times New Roman"/>
                <w:sz w:val="18"/>
                <w:szCs w:val="18"/>
              </w:rPr>
              <w:t>Output</w:t>
            </w:r>
          </w:p>
        </w:tc>
        <w:tc>
          <w:tcPr>
            <w:tcW w:w="9180" w:type="dxa"/>
            <w:tcBorders>
              <w:bottom w:val="single" w:sz="4" w:space="0" w:color="auto"/>
            </w:tcBorders>
          </w:tcPr>
          <w:p w14:paraId="0B8FDA30" w14:textId="77777777" w:rsidR="00DF5B69" w:rsidRPr="000544A1" w:rsidRDefault="00DF5B69" w:rsidP="00AA6D9E">
            <w:pPr>
              <w:spacing w:after="0" w:line="240" w:lineRule="auto"/>
              <w:rPr>
                <w:rFonts w:eastAsia="Calibri" w:cs="Times New Roman"/>
                <w:color w:val="000000"/>
                <w:sz w:val="18"/>
                <w:szCs w:val="18"/>
              </w:rPr>
            </w:pPr>
            <w:r w:rsidRPr="000544A1">
              <w:rPr>
                <w:rFonts w:eastAsia="Calibri" w:cs="Times New Roman"/>
                <w:color w:val="000000"/>
                <w:sz w:val="18"/>
                <w:szCs w:val="18"/>
              </w:rPr>
              <w:t xml:space="preserve">Country has pension portability agreements with main destination countries. </w:t>
            </w:r>
          </w:p>
          <w:p w14:paraId="28B21B56" w14:textId="77777777" w:rsidR="00DF5B69" w:rsidRPr="000544A1" w:rsidRDefault="00DF5B69" w:rsidP="00AA6D9E">
            <w:pPr>
              <w:spacing w:after="0" w:line="240" w:lineRule="auto"/>
              <w:rPr>
                <w:rFonts w:eastAsia="Calibri" w:cs="Times New Roman"/>
                <w:color w:val="000000"/>
                <w:sz w:val="18"/>
                <w:szCs w:val="18"/>
              </w:rPr>
            </w:pPr>
          </w:p>
          <w:p w14:paraId="53CF790C" w14:textId="0AEBAEF6" w:rsidR="00DF5B69" w:rsidRDefault="00DF5B69" w:rsidP="00AA6D9E">
            <w:pPr>
              <w:spacing w:after="0" w:line="240" w:lineRule="auto"/>
              <w:rPr>
                <w:rFonts w:eastAsia="Calibri" w:cs="Times New Roman"/>
                <w:color w:val="000000"/>
                <w:sz w:val="18"/>
                <w:szCs w:val="18"/>
              </w:rPr>
            </w:pPr>
            <w:r w:rsidRPr="000544A1">
              <w:rPr>
                <w:rFonts w:eastAsia="Calibri" w:cs="Times New Roman"/>
                <w:color w:val="000000"/>
                <w:sz w:val="18"/>
                <w:szCs w:val="18"/>
              </w:rPr>
              <w:t>0 = no</w:t>
            </w:r>
            <w:r w:rsidR="00B40B20">
              <w:rPr>
                <w:rFonts w:eastAsia="Calibri" w:cs="Times New Roman"/>
                <w:color w:val="000000"/>
                <w:sz w:val="18"/>
                <w:szCs w:val="18"/>
              </w:rPr>
              <w:t xml:space="preserve"> agreement with main destination countries</w:t>
            </w:r>
          </w:p>
          <w:p w14:paraId="5963B426" w14:textId="7635FC24" w:rsidR="00DF5B69" w:rsidRPr="000544A1" w:rsidRDefault="00556BD7" w:rsidP="00AA6D9E">
            <w:pPr>
              <w:spacing w:after="0" w:line="240" w:lineRule="auto"/>
              <w:rPr>
                <w:rFonts w:eastAsia="Calibri" w:cs="Times New Roman"/>
                <w:sz w:val="18"/>
                <w:szCs w:val="18"/>
              </w:rPr>
            </w:pPr>
            <w:r>
              <w:rPr>
                <w:rFonts w:eastAsia="Calibri" w:cs="Times New Roman"/>
                <w:color w:val="000000"/>
                <w:sz w:val="18"/>
                <w:szCs w:val="18"/>
              </w:rPr>
              <w:t>10 = agreements main destination countries</w:t>
            </w:r>
          </w:p>
        </w:tc>
      </w:tr>
    </w:tbl>
    <w:p w14:paraId="7FAC6F1D" w14:textId="77777777" w:rsidR="00080B2A" w:rsidRPr="000544A1" w:rsidRDefault="00080B2A" w:rsidP="00AA6D9E">
      <w:pPr>
        <w:spacing w:after="0" w:line="240" w:lineRule="auto"/>
      </w:pPr>
    </w:p>
    <w:p w14:paraId="1FA3F85C" w14:textId="25121E65" w:rsidR="00951B1F" w:rsidRPr="000544A1" w:rsidRDefault="00951B1F" w:rsidP="00BF13A2">
      <w:pPr>
        <w:suppressAutoHyphens w:val="0"/>
        <w:spacing w:after="160" w:line="259" w:lineRule="auto"/>
        <w:jc w:val="center"/>
        <w:rPr>
          <w:rFonts w:asciiTheme="majorHAnsi" w:hAnsiTheme="majorHAnsi"/>
          <w:b/>
          <w:color w:val="000000"/>
          <w:sz w:val="32"/>
          <w:szCs w:val="32"/>
        </w:rPr>
      </w:pPr>
      <w:r w:rsidRPr="000544A1">
        <w:rPr>
          <w:rFonts w:asciiTheme="majorHAnsi" w:hAnsiTheme="majorHAnsi"/>
          <w:b/>
          <w:color w:val="000000"/>
          <w:sz w:val="32"/>
          <w:szCs w:val="32"/>
        </w:rPr>
        <w:t>Objective</w:t>
      </w:r>
      <w:r w:rsidR="00D179A0">
        <w:rPr>
          <w:rFonts w:asciiTheme="majorHAnsi" w:hAnsiTheme="majorHAnsi"/>
          <w:b/>
          <w:color w:val="000000"/>
          <w:sz w:val="32"/>
          <w:szCs w:val="32"/>
        </w:rPr>
        <w:t xml:space="preserve"> </w:t>
      </w:r>
      <w:r w:rsidR="00FB2A52">
        <w:rPr>
          <w:rFonts w:asciiTheme="majorHAnsi" w:hAnsiTheme="majorHAnsi"/>
          <w:b/>
          <w:color w:val="000000"/>
          <w:sz w:val="32"/>
          <w:szCs w:val="32"/>
        </w:rPr>
        <w:t>4</w:t>
      </w:r>
      <w:r w:rsidRPr="000544A1">
        <w:rPr>
          <w:rFonts w:asciiTheme="majorHAnsi" w:hAnsiTheme="majorHAnsi"/>
          <w:b/>
          <w:color w:val="000000"/>
          <w:sz w:val="32"/>
          <w:szCs w:val="32"/>
        </w:rPr>
        <w:t>: Promote the integration and re-integration of migrants</w:t>
      </w:r>
    </w:p>
    <w:p w14:paraId="707BA528" w14:textId="77777777" w:rsidR="003F2858" w:rsidRPr="000544A1" w:rsidRDefault="003F2858" w:rsidP="00AA6D9E">
      <w:pPr>
        <w:pStyle w:val="Listparagraf"/>
        <w:spacing w:after="0" w:line="240" w:lineRule="auto"/>
        <w:ind w:left="2160"/>
        <w:contextualSpacing w:val="0"/>
        <w:rPr>
          <w:rFonts w:ascii="Garamond" w:hAnsi="Garamond"/>
          <w:b/>
          <w:color w:val="000000"/>
          <w:sz w:val="24"/>
          <w:szCs w:val="24"/>
          <w:u w:val="single"/>
        </w:rPr>
      </w:pPr>
    </w:p>
    <w:p w14:paraId="731405CE" w14:textId="77777777" w:rsidR="00842221" w:rsidRPr="000544A1" w:rsidRDefault="00842221" w:rsidP="00842221">
      <w:pPr>
        <w:spacing w:after="0" w:line="240" w:lineRule="auto"/>
        <w:rPr>
          <w:rFonts w:asciiTheme="majorHAnsi" w:hAnsiTheme="majorHAnsi" w:cs="Garamond"/>
          <w:i/>
          <w:color w:val="000000"/>
          <w:sz w:val="24"/>
          <w:szCs w:val="24"/>
        </w:rPr>
      </w:pPr>
    </w:p>
    <w:tbl>
      <w:tblPr>
        <w:tblStyle w:val="Tabelgril"/>
        <w:tblW w:w="0" w:type="auto"/>
        <w:tblLayout w:type="fixed"/>
        <w:tblLook w:val="04A0" w:firstRow="1" w:lastRow="0" w:firstColumn="1" w:lastColumn="0" w:noHBand="0" w:noVBand="1"/>
      </w:tblPr>
      <w:tblGrid>
        <w:gridCol w:w="1134"/>
        <w:gridCol w:w="1276"/>
        <w:gridCol w:w="992"/>
        <w:gridCol w:w="9180"/>
      </w:tblGrid>
      <w:tr w:rsidR="00DF5B69" w:rsidRPr="000544A1" w14:paraId="046D1EF6" w14:textId="77777777" w:rsidTr="00DF5B69">
        <w:trPr>
          <w:trHeight w:val="438"/>
          <w:tblHeader/>
        </w:trPr>
        <w:tc>
          <w:tcPr>
            <w:tcW w:w="1134" w:type="dxa"/>
            <w:shd w:val="clear" w:color="auto" w:fill="DEEAF6" w:themeFill="accent1" w:themeFillTint="33"/>
          </w:tcPr>
          <w:p w14:paraId="5A7E6195"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 xml:space="preserve">Indicator No. </w:t>
            </w:r>
          </w:p>
        </w:tc>
        <w:tc>
          <w:tcPr>
            <w:tcW w:w="1276" w:type="dxa"/>
            <w:shd w:val="clear" w:color="auto" w:fill="DEEAF6" w:themeFill="accent1" w:themeFillTint="33"/>
          </w:tcPr>
          <w:p w14:paraId="3D727C94"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Policy Area</w:t>
            </w:r>
          </w:p>
        </w:tc>
        <w:tc>
          <w:tcPr>
            <w:tcW w:w="992" w:type="dxa"/>
            <w:shd w:val="clear" w:color="auto" w:fill="DEEAF6" w:themeFill="accent1" w:themeFillTint="33"/>
          </w:tcPr>
          <w:p w14:paraId="6C21FF5F" w14:textId="77777777" w:rsidR="00DF5B69" w:rsidRPr="000544A1" w:rsidRDefault="00DF5B69" w:rsidP="00AA6D9E">
            <w:pPr>
              <w:spacing w:after="0" w:line="240" w:lineRule="auto"/>
              <w:rPr>
                <w:rFonts w:eastAsia="Calibri" w:cs="Times New Roman"/>
                <w:b/>
                <w:sz w:val="18"/>
                <w:szCs w:val="18"/>
              </w:rPr>
            </w:pPr>
            <w:r w:rsidRPr="000544A1">
              <w:rPr>
                <w:rFonts w:eastAsia="Calibri" w:cs="Times New Roman"/>
                <w:b/>
                <w:sz w:val="18"/>
                <w:szCs w:val="18"/>
              </w:rPr>
              <w:t>Indicator Type</w:t>
            </w:r>
          </w:p>
        </w:tc>
        <w:tc>
          <w:tcPr>
            <w:tcW w:w="9180" w:type="dxa"/>
            <w:shd w:val="clear" w:color="auto" w:fill="DEEAF6" w:themeFill="accent1" w:themeFillTint="33"/>
          </w:tcPr>
          <w:p w14:paraId="6F4ED5E5" w14:textId="77777777" w:rsidR="00DF5B69" w:rsidRPr="000544A1" w:rsidRDefault="00DF5B69" w:rsidP="00AA6D9E">
            <w:pPr>
              <w:spacing w:after="0" w:line="240" w:lineRule="auto"/>
              <w:rPr>
                <w:rFonts w:eastAsia="Calibri" w:cs="Times New Roman"/>
                <w:b/>
                <w:color w:val="000000"/>
                <w:sz w:val="18"/>
                <w:szCs w:val="18"/>
              </w:rPr>
            </w:pPr>
            <w:r w:rsidRPr="000544A1">
              <w:rPr>
                <w:rFonts w:eastAsia="Calibri" w:cs="Times New Roman"/>
                <w:b/>
                <w:sz w:val="18"/>
                <w:szCs w:val="18"/>
              </w:rPr>
              <w:t>Indicator Measurement</w:t>
            </w:r>
          </w:p>
        </w:tc>
      </w:tr>
      <w:tr w:rsidR="00DF5B69" w:rsidRPr="000544A1" w14:paraId="6B8C7ABB" w14:textId="77777777" w:rsidTr="00DF5B69">
        <w:trPr>
          <w:trHeight w:val="1539"/>
        </w:trPr>
        <w:tc>
          <w:tcPr>
            <w:tcW w:w="1134" w:type="dxa"/>
          </w:tcPr>
          <w:p w14:paraId="520588E1" w14:textId="7E7948DC"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4.1</w:t>
            </w:r>
          </w:p>
        </w:tc>
        <w:tc>
          <w:tcPr>
            <w:tcW w:w="1276" w:type="dxa"/>
          </w:tcPr>
          <w:p w14:paraId="39611441"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Legal status</w:t>
            </w:r>
          </w:p>
        </w:tc>
        <w:tc>
          <w:tcPr>
            <w:tcW w:w="992" w:type="dxa"/>
          </w:tcPr>
          <w:p w14:paraId="5C52C665"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Output</w:t>
            </w:r>
          </w:p>
        </w:tc>
        <w:tc>
          <w:tcPr>
            <w:tcW w:w="9180" w:type="dxa"/>
          </w:tcPr>
          <w:p w14:paraId="6E920727"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 xml:space="preserve">Dual citizenship is allowed. </w:t>
            </w:r>
          </w:p>
          <w:p w14:paraId="732943AC" w14:textId="77777777" w:rsidR="00DF5B69" w:rsidRPr="000544A1" w:rsidRDefault="00DF5B69" w:rsidP="00AA6D9E">
            <w:pPr>
              <w:spacing w:after="0" w:line="240" w:lineRule="auto"/>
              <w:rPr>
                <w:rFonts w:eastAsia="Calibri" w:cs="Times New Roman"/>
                <w:sz w:val="18"/>
                <w:szCs w:val="18"/>
              </w:rPr>
            </w:pPr>
          </w:p>
          <w:p w14:paraId="11161BE4"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0 = no</w:t>
            </w:r>
          </w:p>
          <w:p w14:paraId="1838BDCA"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5 = possibility to renounce citizenship</w:t>
            </w:r>
          </w:p>
          <w:p w14:paraId="53D5BE8E" w14:textId="77777777" w:rsidR="00DF5B69" w:rsidRPr="000544A1" w:rsidRDefault="00DF5B69" w:rsidP="00AA6D9E">
            <w:pPr>
              <w:spacing w:after="0" w:line="240" w:lineRule="auto"/>
              <w:rPr>
                <w:rFonts w:eastAsia="Calibri" w:cs="Times New Roman"/>
                <w:color w:val="000000"/>
                <w:sz w:val="18"/>
                <w:szCs w:val="18"/>
              </w:rPr>
            </w:pPr>
            <w:r w:rsidRPr="000544A1">
              <w:rPr>
                <w:rFonts w:eastAsia="Calibri" w:cs="Times New Roman"/>
                <w:sz w:val="18"/>
                <w:szCs w:val="18"/>
              </w:rPr>
              <w:t xml:space="preserve">10 = yes </w:t>
            </w:r>
          </w:p>
        </w:tc>
      </w:tr>
      <w:tr w:rsidR="00DF5B69" w:rsidRPr="000544A1" w14:paraId="29E554E6" w14:textId="77777777" w:rsidTr="00DF5B69">
        <w:trPr>
          <w:trHeight w:val="1539"/>
        </w:trPr>
        <w:tc>
          <w:tcPr>
            <w:tcW w:w="1134" w:type="dxa"/>
          </w:tcPr>
          <w:p w14:paraId="39FF2DB5" w14:textId="0DED1065"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4.2</w:t>
            </w:r>
          </w:p>
        </w:tc>
        <w:tc>
          <w:tcPr>
            <w:tcW w:w="1276" w:type="dxa"/>
          </w:tcPr>
          <w:p w14:paraId="0D8956B8" w14:textId="77777777"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Research</w:t>
            </w:r>
          </w:p>
        </w:tc>
        <w:tc>
          <w:tcPr>
            <w:tcW w:w="992" w:type="dxa"/>
          </w:tcPr>
          <w:p w14:paraId="68D07BC7" w14:textId="77777777"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Input</w:t>
            </w:r>
          </w:p>
        </w:tc>
        <w:tc>
          <w:tcPr>
            <w:tcW w:w="9180" w:type="dxa"/>
          </w:tcPr>
          <w:p w14:paraId="21295E35"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 xml:space="preserve">There is data available on return migrants, disaggregated by sex, age and skill level. </w:t>
            </w:r>
          </w:p>
          <w:p w14:paraId="4B0FD3B8" w14:textId="77777777" w:rsidR="00DF5B69" w:rsidRPr="000544A1" w:rsidRDefault="00DF5B69" w:rsidP="00355E83">
            <w:pPr>
              <w:spacing w:after="0" w:line="240" w:lineRule="auto"/>
              <w:rPr>
                <w:rFonts w:eastAsia="Calibri" w:cs="Times New Roman"/>
                <w:sz w:val="18"/>
                <w:szCs w:val="18"/>
              </w:rPr>
            </w:pPr>
          </w:p>
          <w:p w14:paraId="393A2A16"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0 = no statistics</w:t>
            </w:r>
          </w:p>
          <w:p w14:paraId="076D6B95"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5 = statistics but not disaggregated</w:t>
            </w:r>
          </w:p>
          <w:p w14:paraId="0BC4E197"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10 = disaggregated statistics</w:t>
            </w:r>
          </w:p>
        </w:tc>
      </w:tr>
      <w:tr w:rsidR="00DF5B69" w:rsidRPr="000544A1" w14:paraId="3DF512D3" w14:textId="77777777" w:rsidTr="00DF5B69">
        <w:trPr>
          <w:trHeight w:val="145"/>
        </w:trPr>
        <w:tc>
          <w:tcPr>
            <w:tcW w:w="1134" w:type="dxa"/>
          </w:tcPr>
          <w:p w14:paraId="61A49284" w14:textId="5A9A9887"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4.3</w:t>
            </w:r>
          </w:p>
        </w:tc>
        <w:tc>
          <w:tcPr>
            <w:tcW w:w="1276" w:type="dxa"/>
          </w:tcPr>
          <w:p w14:paraId="0195C3C6"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Research</w:t>
            </w:r>
          </w:p>
        </w:tc>
        <w:tc>
          <w:tcPr>
            <w:tcW w:w="992" w:type="dxa"/>
          </w:tcPr>
          <w:p w14:paraId="69843308" w14:textId="77777777"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Input</w:t>
            </w:r>
          </w:p>
        </w:tc>
        <w:tc>
          <w:tcPr>
            <w:tcW w:w="9180" w:type="dxa"/>
          </w:tcPr>
          <w:p w14:paraId="0FA6AB47"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There is data available on emigrants, disaggregated by sex, age and skill level.</w:t>
            </w:r>
          </w:p>
          <w:p w14:paraId="08057AEB" w14:textId="77777777" w:rsidR="00DF5B69" w:rsidRPr="000544A1" w:rsidRDefault="00DF5B69" w:rsidP="00AA6D9E">
            <w:pPr>
              <w:spacing w:after="0" w:line="240" w:lineRule="auto"/>
              <w:rPr>
                <w:rFonts w:eastAsia="Calibri" w:cs="Times New Roman"/>
                <w:sz w:val="18"/>
                <w:szCs w:val="18"/>
              </w:rPr>
            </w:pPr>
          </w:p>
          <w:p w14:paraId="55493EB8"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0 = no statistics</w:t>
            </w:r>
          </w:p>
          <w:p w14:paraId="75F7FF45"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5 = statistics but not disaggregated</w:t>
            </w:r>
          </w:p>
          <w:p w14:paraId="4608DF85"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10 = disaggregated statistics</w:t>
            </w:r>
          </w:p>
        </w:tc>
      </w:tr>
      <w:tr w:rsidR="00DF5B69" w:rsidRPr="000544A1" w14:paraId="082EE1F6" w14:textId="77777777" w:rsidTr="00DF5B69">
        <w:trPr>
          <w:trHeight w:val="145"/>
        </w:trPr>
        <w:tc>
          <w:tcPr>
            <w:tcW w:w="1134" w:type="dxa"/>
          </w:tcPr>
          <w:p w14:paraId="15C6ADB5" w14:textId="77DA68D4"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t>4.4</w:t>
            </w:r>
          </w:p>
        </w:tc>
        <w:tc>
          <w:tcPr>
            <w:tcW w:w="1276" w:type="dxa"/>
          </w:tcPr>
          <w:p w14:paraId="0202B407"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Education and training</w:t>
            </w:r>
          </w:p>
        </w:tc>
        <w:tc>
          <w:tcPr>
            <w:tcW w:w="992" w:type="dxa"/>
          </w:tcPr>
          <w:p w14:paraId="3CC117A8"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Output</w:t>
            </w:r>
          </w:p>
        </w:tc>
        <w:tc>
          <w:tcPr>
            <w:tcW w:w="9180" w:type="dxa"/>
          </w:tcPr>
          <w:p w14:paraId="56B55AD4" w14:textId="6319A128"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Country has mechanisms (such as mutual recognition agreements) that promote the</w:t>
            </w:r>
            <w:r>
              <w:rPr>
                <w:rFonts w:eastAsia="Calibri" w:cs="Times New Roman"/>
                <w:sz w:val="18"/>
                <w:szCs w:val="18"/>
              </w:rPr>
              <w:t xml:space="preserve"> recognition of degrees and skills gained abroad.</w:t>
            </w:r>
          </w:p>
          <w:p w14:paraId="066A5CD9" w14:textId="77777777" w:rsidR="00DF5B69" w:rsidRPr="000544A1" w:rsidRDefault="00DF5B69" w:rsidP="00AA6D9E">
            <w:pPr>
              <w:spacing w:after="0" w:line="240" w:lineRule="auto"/>
              <w:rPr>
                <w:rFonts w:eastAsia="Calibri" w:cs="Times New Roman"/>
                <w:sz w:val="18"/>
                <w:szCs w:val="18"/>
              </w:rPr>
            </w:pPr>
          </w:p>
          <w:p w14:paraId="39789E8A"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0 = no</w:t>
            </w:r>
          </w:p>
          <w:p w14:paraId="590F0987" w14:textId="0D187549"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lastRenderedPageBreak/>
              <w:t>10 = yes</w:t>
            </w:r>
          </w:p>
          <w:p w14:paraId="30ED74DB" w14:textId="77777777" w:rsidR="00DF5B69" w:rsidRPr="000544A1" w:rsidRDefault="00DF5B69" w:rsidP="00AA6D9E">
            <w:pPr>
              <w:spacing w:after="0" w:line="240" w:lineRule="auto"/>
              <w:rPr>
                <w:rFonts w:eastAsia="Calibri" w:cs="Times New Roman"/>
                <w:sz w:val="18"/>
                <w:szCs w:val="18"/>
              </w:rPr>
            </w:pPr>
          </w:p>
        </w:tc>
      </w:tr>
      <w:tr w:rsidR="00DF5B69" w:rsidRPr="000544A1" w14:paraId="6854C460" w14:textId="77777777" w:rsidTr="00DF5B69">
        <w:trPr>
          <w:trHeight w:val="145"/>
        </w:trPr>
        <w:tc>
          <w:tcPr>
            <w:tcW w:w="1134" w:type="dxa"/>
          </w:tcPr>
          <w:p w14:paraId="40B37B0B" w14:textId="10F47B8A" w:rsidR="00DF5B69" w:rsidRPr="000544A1" w:rsidRDefault="00DF5B69" w:rsidP="00AA6D9E">
            <w:pPr>
              <w:spacing w:after="0" w:line="240" w:lineRule="auto"/>
              <w:rPr>
                <w:rFonts w:eastAsia="Calibri" w:cs="Times New Roman"/>
                <w:sz w:val="18"/>
                <w:szCs w:val="18"/>
              </w:rPr>
            </w:pPr>
            <w:r>
              <w:rPr>
                <w:rFonts w:eastAsia="Calibri" w:cs="Times New Roman"/>
                <w:sz w:val="18"/>
                <w:szCs w:val="18"/>
              </w:rPr>
              <w:lastRenderedPageBreak/>
              <w:t>4.5</w:t>
            </w:r>
          </w:p>
        </w:tc>
        <w:tc>
          <w:tcPr>
            <w:tcW w:w="1276" w:type="dxa"/>
          </w:tcPr>
          <w:p w14:paraId="4084398D"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Services</w:t>
            </w:r>
          </w:p>
        </w:tc>
        <w:tc>
          <w:tcPr>
            <w:tcW w:w="992" w:type="dxa"/>
          </w:tcPr>
          <w:p w14:paraId="2BA0A6EC"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Output</w:t>
            </w:r>
          </w:p>
        </w:tc>
        <w:tc>
          <w:tcPr>
            <w:tcW w:w="9180" w:type="dxa"/>
          </w:tcPr>
          <w:p w14:paraId="4D307743"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 xml:space="preserve">Re-integration programmes and assistance (e.g., in the areas of employment, housing and investment) exist and are accessible to all return migrants, including forced returnees. </w:t>
            </w:r>
          </w:p>
          <w:p w14:paraId="575C22C6" w14:textId="77777777" w:rsidR="00DF5B69" w:rsidRPr="000544A1" w:rsidRDefault="00DF5B69" w:rsidP="00355E83">
            <w:pPr>
              <w:spacing w:after="0" w:line="240" w:lineRule="auto"/>
              <w:rPr>
                <w:rFonts w:eastAsia="Calibri" w:cs="Times New Roman"/>
                <w:sz w:val="18"/>
                <w:szCs w:val="18"/>
              </w:rPr>
            </w:pPr>
          </w:p>
          <w:p w14:paraId="46B3D8BE" w14:textId="5D46E62F" w:rsidR="00DF5B69" w:rsidRDefault="00DF5B69" w:rsidP="00355E83">
            <w:pPr>
              <w:spacing w:after="0" w:line="240" w:lineRule="auto"/>
              <w:rPr>
                <w:rFonts w:eastAsia="Calibri" w:cs="Times New Roman"/>
                <w:sz w:val="18"/>
                <w:szCs w:val="18"/>
              </w:rPr>
            </w:pPr>
            <w:r w:rsidRPr="000544A1">
              <w:rPr>
                <w:rFonts w:eastAsia="Calibri" w:cs="Times New Roman"/>
                <w:sz w:val="18"/>
                <w:szCs w:val="18"/>
              </w:rPr>
              <w:t>0 = no</w:t>
            </w:r>
          </w:p>
          <w:p w14:paraId="0DFDA6F8" w14:textId="03F97863" w:rsidR="00DF5B69" w:rsidRDefault="00DF5B69" w:rsidP="00AA6D9E">
            <w:pPr>
              <w:spacing w:after="0" w:line="240" w:lineRule="auto"/>
              <w:rPr>
                <w:rFonts w:eastAsia="Calibri" w:cs="Times New Roman"/>
                <w:sz w:val="18"/>
                <w:szCs w:val="18"/>
              </w:rPr>
            </w:pPr>
            <w:r w:rsidRPr="000544A1">
              <w:rPr>
                <w:rFonts w:eastAsia="Calibri" w:cs="Times New Roman"/>
                <w:sz w:val="18"/>
                <w:szCs w:val="18"/>
              </w:rPr>
              <w:t>5 = Re-integration programmes exist only for return migrants with a certain level of capital</w:t>
            </w:r>
          </w:p>
          <w:p w14:paraId="56FB262C" w14:textId="77777777" w:rsidR="00DF5B69" w:rsidRPr="000544A1" w:rsidRDefault="00DF5B69" w:rsidP="00AA6D9E">
            <w:pPr>
              <w:spacing w:after="0" w:line="240" w:lineRule="auto"/>
              <w:rPr>
                <w:rFonts w:eastAsia="Calibri" w:cs="Times New Roman"/>
                <w:sz w:val="18"/>
                <w:szCs w:val="18"/>
              </w:rPr>
            </w:pPr>
            <w:r w:rsidRPr="000544A1">
              <w:rPr>
                <w:rFonts w:eastAsia="Calibri" w:cs="Times New Roman"/>
                <w:sz w:val="18"/>
                <w:szCs w:val="18"/>
              </w:rPr>
              <w:t xml:space="preserve">10 = Re-integration programmes exist for all return migrants </w:t>
            </w:r>
          </w:p>
        </w:tc>
      </w:tr>
    </w:tbl>
    <w:p w14:paraId="5F30BA9E" w14:textId="77777777" w:rsidR="00C70F71" w:rsidRDefault="00C70F71" w:rsidP="001B18FE">
      <w:pPr>
        <w:jc w:val="center"/>
        <w:rPr>
          <w:rFonts w:asciiTheme="majorHAnsi" w:hAnsiTheme="majorHAnsi"/>
          <w:b/>
          <w:color w:val="000000"/>
          <w:sz w:val="32"/>
          <w:szCs w:val="32"/>
        </w:rPr>
      </w:pPr>
    </w:p>
    <w:p w14:paraId="6D4B55BD" w14:textId="38B2C6EF" w:rsidR="001B18FE" w:rsidRPr="000544A1" w:rsidRDefault="001B18FE" w:rsidP="00C70F71">
      <w:pPr>
        <w:suppressAutoHyphens w:val="0"/>
        <w:spacing w:after="160" w:line="259" w:lineRule="auto"/>
        <w:jc w:val="center"/>
        <w:rPr>
          <w:rFonts w:asciiTheme="majorHAnsi" w:hAnsiTheme="majorHAnsi"/>
          <w:b/>
          <w:color w:val="000000"/>
          <w:sz w:val="32"/>
          <w:szCs w:val="32"/>
        </w:rPr>
      </w:pPr>
      <w:r w:rsidRPr="000544A1">
        <w:rPr>
          <w:rFonts w:asciiTheme="majorHAnsi" w:hAnsiTheme="majorHAnsi"/>
          <w:b/>
          <w:color w:val="000000"/>
          <w:sz w:val="32"/>
          <w:szCs w:val="32"/>
        </w:rPr>
        <w:t>Objective</w:t>
      </w:r>
      <w:r w:rsidR="00D223E5">
        <w:rPr>
          <w:rFonts w:asciiTheme="majorHAnsi" w:hAnsiTheme="majorHAnsi"/>
          <w:b/>
          <w:color w:val="000000"/>
          <w:sz w:val="32"/>
          <w:szCs w:val="32"/>
        </w:rPr>
        <w:t xml:space="preserve"> </w:t>
      </w:r>
      <w:r w:rsidR="00893593">
        <w:rPr>
          <w:rFonts w:asciiTheme="majorHAnsi" w:hAnsiTheme="majorHAnsi"/>
          <w:b/>
          <w:color w:val="000000"/>
          <w:sz w:val="32"/>
          <w:szCs w:val="32"/>
        </w:rPr>
        <w:t>5</w:t>
      </w:r>
      <w:r w:rsidRPr="000544A1">
        <w:rPr>
          <w:rFonts w:asciiTheme="majorHAnsi" w:hAnsiTheme="majorHAnsi"/>
          <w:b/>
          <w:color w:val="000000"/>
          <w:sz w:val="32"/>
          <w:szCs w:val="32"/>
        </w:rPr>
        <w:t>: Enhance the development impact of migration</w:t>
      </w:r>
    </w:p>
    <w:tbl>
      <w:tblPr>
        <w:tblStyle w:val="Tabelgril"/>
        <w:tblW w:w="12724" w:type="dxa"/>
        <w:tblLayout w:type="fixed"/>
        <w:tblLook w:val="04A0" w:firstRow="1" w:lastRow="0" w:firstColumn="1" w:lastColumn="0" w:noHBand="0" w:noVBand="1"/>
      </w:tblPr>
      <w:tblGrid>
        <w:gridCol w:w="1134"/>
        <w:gridCol w:w="1134"/>
        <w:gridCol w:w="993"/>
        <w:gridCol w:w="9463"/>
      </w:tblGrid>
      <w:tr w:rsidR="00DF5B69" w:rsidRPr="000544A1" w14:paraId="3956141E" w14:textId="77777777" w:rsidTr="00DF5B69">
        <w:tc>
          <w:tcPr>
            <w:tcW w:w="1134" w:type="dxa"/>
            <w:shd w:val="clear" w:color="auto" w:fill="DEEAF6" w:themeFill="accent1" w:themeFillTint="33"/>
          </w:tcPr>
          <w:p w14:paraId="0EC146B1" w14:textId="77777777" w:rsidR="00DF5B69" w:rsidRPr="000544A1" w:rsidRDefault="00DF5B69" w:rsidP="006D1804">
            <w:pPr>
              <w:rPr>
                <w:rFonts w:eastAsia="Calibri" w:cs="Times New Roman"/>
                <w:b/>
                <w:sz w:val="18"/>
                <w:szCs w:val="18"/>
              </w:rPr>
            </w:pPr>
            <w:r w:rsidRPr="000544A1">
              <w:rPr>
                <w:rFonts w:eastAsia="Calibri" w:cs="Times New Roman"/>
                <w:b/>
                <w:sz w:val="18"/>
                <w:szCs w:val="18"/>
              </w:rPr>
              <w:t>Indicator Number</w:t>
            </w:r>
          </w:p>
        </w:tc>
        <w:tc>
          <w:tcPr>
            <w:tcW w:w="1134" w:type="dxa"/>
            <w:shd w:val="clear" w:color="auto" w:fill="DEEAF6" w:themeFill="accent1" w:themeFillTint="33"/>
          </w:tcPr>
          <w:p w14:paraId="27C1A861" w14:textId="77777777" w:rsidR="00DF5B69" w:rsidRPr="000544A1" w:rsidRDefault="00DF5B69" w:rsidP="006D1804">
            <w:pPr>
              <w:rPr>
                <w:rFonts w:eastAsia="Calibri" w:cs="Times New Roman"/>
                <w:b/>
                <w:sz w:val="18"/>
                <w:szCs w:val="18"/>
              </w:rPr>
            </w:pPr>
            <w:r w:rsidRPr="000544A1">
              <w:rPr>
                <w:rFonts w:eastAsia="Calibri" w:cs="Times New Roman"/>
                <w:b/>
                <w:sz w:val="18"/>
                <w:szCs w:val="18"/>
              </w:rPr>
              <w:t>Policy Area</w:t>
            </w:r>
          </w:p>
        </w:tc>
        <w:tc>
          <w:tcPr>
            <w:tcW w:w="993" w:type="dxa"/>
            <w:shd w:val="clear" w:color="auto" w:fill="DEEAF6" w:themeFill="accent1" w:themeFillTint="33"/>
          </w:tcPr>
          <w:p w14:paraId="4B654DEE" w14:textId="77777777" w:rsidR="00DF5B69" w:rsidRPr="000544A1" w:rsidRDefault="00DF5B69" w:rsidP="006D1804">
            <w:pPr>
              <w:rPr>
                <w:rFonts w:eastAsia="Calibri" w:cs="Times New Roman"/>
                <w:b/>
                <w:sz w:val="18"/>
                <w:szCs w:val="18"/>
              </w:rPr>
            </w:pPr>
            <w:r w:rsidRPr="000544A1">
              <w:rPr>
                <w:rFonts w:eastAsia="Calibri" w:cs="Times New Roman"/>
                <w:b/>
                <w:sz w:val="18"/>
                <w:szCs w:val="18"/>
              </w:rPr>
              <w:t>Indicator Type</w:t>
            </w:r>
          </w:p>
        </w:tc>
        <w:tc>
          <w:tcPr>
            <w:tcW w:w="9463" w:type="dxa"/>
            <w:shd w:val="clear" w:color="auto" w:fill="DEEAF6" w:themeFill="accent1" w:themeFillTint="33"/>
          </w:tcPr>
          <w:p w14:paraId="086B8240" w14:textId="77777777" w:rsidR="00DF5B69" w:rsidRPr="000544A1" w:rsidRDefault="00DF5B69" w:rsidP="006D1804">
            <w:pPr>
              <w:rPr>
                <w:rFonts w:eastAsia="Calibri" w:cs="Times New Roman"/>
                <w:b/>
                <w:color w:val="000000"/>
                <w:sz w:val="18"/>
                <w:szCs w:val="18"/>
              </w:rPr>
            </w:pPr>
            <w:r w:rsidRPr="000544A1">
              <w:rPr>
                <w:rFonts w:eastAsia="Calibri" w:cs="Times New Roman"/>
                <w:b/>
                <w:sz w:val="18"/>
                <w:szCs w:val="18"/>
              </w:rPr>
              <w:t>Indicator Measurement</w:t>
            </w:r>
          </w:p>
        </w:tc>
      </w:tr>
      <w:tr w:rsidR="00DF5B69" w:rsidRPr="000544A1" w14:paraId="527E2BA7" w14:textId="77777777" w:rsidTr="00DF5B69">
        <w:tc>
          <w:tcPr>
            <w:tcW w:w="1134" w:type="dxa"/>
          </w:tcPr>
          <w:p w14:paraId="7D171BE9" w14:textId="678C634C" w:rsidR="00DF5B69" w:rsidRPr="000544A1" w:rsidRDefault="00DF5B69" w:rsidP="006D1804">
            <w:pPr>
              <w:rPr>
                <w:rFonts w:eastAsia="Calibri" w:cs="Times New Roman"/>
                <w:sz w:val="18"/>
                <w:szCs w:val="18"/>
              </w:rPr>
            </w:pPr>
            <w:r>
              <w:rPr>
                <w:rFonts w:eastAsia="Calibri" w:cs="Times New Roman"/>
                <w:sz w:val="18"/>
                <w:szCs w:val="18"/>
              </w:rPr>
              <w:t>5.1</w:t>
            </w:r>
          </w:p>
        </w:tc>
        <w:tc>
          <w:tcPr>
            <w:tcW w:w="1134" w:type="dxa"/>
          </w:tcPr>
          <w:p w14:paraId="7A96C11D" w14:textId="77777777" w:rsidR="00DF5B69" w:rsidRPr="000544A1" w:rsidRDefault="00DF5B69" w:rsidP="006D1804">
            <w:pPr>
              <w:rPr>
                <w:rFonts w:eastAsia="Calibri" w:cs="Times New Roman"/>
                <w:sz w:val="18"/>
                <w:szCs w:val="18"/>
              </w:rPr>
            </w:pPr>
            <w:r w:rsidRPr="000544A1">
              <w:rPr>
                <w:rFonts w:eastAsia="Calibri" w:cs="Times New Roman"/>
                <w:sz w:val="18"/>
                <w:szCs w:val="18"/>
              </w:rPr>
              <w:t>Remittances</w:t>
            </w:r>
          </w:p>
        </w:tc>
        <w:tc>
          <w:tcPr>
            <w:tcW w:w="993" w:type="dxa"/>
          </w:tcPr>
          <w:p w14:paraId="047B5EF7"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0BF6CCBA" w14:textId="37CDB9BB" w:rsidR="00DF5B69" w:rsidRPr="000544A1" w:rsidRDefault="00DF5B69" w:rsidP="00355E83">
            <w:pPr>
              <w:spacing w:after="0" w:line="240" w:lineRule="auto"/>
              <w:rPr>
                <w:rFonts w:eastAsia="Calibri" w:cs="Times New Roman"/>
                <w:color w:val="000000"/>
                <w:sz w:val="18"/>
                <w:szCs w:val="18"/>
              </w:rPr>
            </w:pPr>
            <w:r>
              <w:rPr>
                <w:rFonts w:eastAsia="Calibri" w:cs="Times New Roman"/>
                <w:color w:val="000000"/>
                <w:sz w:val="18"/>
                <w:szCs w:val="18"/>
              </w:rPr>
              <w:t xml:space="preserve">There are no exclusive partnerships with money transfer operators. </w:t>
            </w:r>
          </w:p>
          <w:p w14:paraId="1618A861" w14:textId="77777777" w:rsidR="00DF5B69" w:rsidRPr="000544A1" w:rsidRDefault="00DF5B69" w:rsidP="00355E83">
            <w:pPr>
              <w:spacing w:after="0" w:line="240" w:lineRule="auto"/>
              <w:rPr>
                <w:rFonts w:eastAsia="Calibri" w:cs="Times New Roman"/>
                <w:color w:val="000000"/>
                <w:sz w:val="18"/>
                <w:szCs w:val="18"/>
              </w:rPr>
            </w:pPr>
          </w:p>
          <w:p w14:paraId="4B005C8A" w14:textId="0AAA550E"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 xml:space="preserve">0 = </w:t>
            </w:r>
            <w:r>
              <w:rPr>
                <w:rFonts w:eastAsia="Calibri" w:cs="Times New Roman"/>
                <w:color w:val="000000"/>
                <w:sz w:val="18"/>
                <w:szCs w:val="18"/>
              </w:rPr>
              <w:t>no</w:t>
            </w:r>
          </w:p>
          <w:p w14:paraId="67EB0906" w14:textId="044E586B" w:rsidR="00DF5B69" w:rsidRPr="000544A1" w:rsidRDefault="00DF5B69" w:rsidP="001E1C8F">
            <w:pPr>
              <w:spacing w:after="0" w:line="240" w:lineRule="auto"/>
              <w:rPr>
                <w:rFonts w:eastAsia="Calibri" w:cs="Times New Roman"/>
                <w:sz w:val="18"/>
                <w:szCs w:val="18"/>
              </w:rPr>
            </w:pPr>
            <w:r w:rsidRPr="000544A1">
              <w:rPr>
                <w:rFonts w:eastAsia="Calibri" w:cs="Times New Roman"/>
                <w:color w:val="000000"/>
                <w:sz w:val="18"/>
                <w:szCs w:val="18"/>
              </w:rPr>
              <w:t xml:space="preserve">10 = </w:t>
            </w:r>
            <w:r>
              <w:rPr>
                <w:rFonts w:eastAsia="Calibri" w:cs="Times New Roman"/>
                <w:color w:val="000000"/>
                <w:sz w:val="18"/>
                <w:szCs w:val="18"/>
              </w:rPr>
              <w:t>yes</w:t>
            </w:r>
            <w:r w:rsidRPr="000544A1">
              <w:rPr>
                <w:rFonts w:eastAsia="Calibri" w:cs="Times New Roman"/>
                <w:color w:val="000000"/>
                <w:sz w:val="18"/>
                <w:szCs w:val="18"/>
              </w:rPr>
              <w:t xml:space="preserve"> </w:t>
            </w:r>
          </w:p>
        </w:tc>
      </w:tr>
      <w:tr w:rsidR="00DF5B69" w:rsidRPr="000544A1" w14:paraId="353C21F7" w14:textId="77777777" w:rsidTr="00DF5B69">
        <w:tc>
          <w:tcPr>
            <w:tcW w:w="1134" w:type="dxa"/>
          </w:tcPr>
          <w:p w14:paraId="197B12AC" w14:textId="0FCA5A5E" w:rsidR="00DF5B69" w:rsidRPr="000544A1" w:rsidRDefault="00DF5B69" w:rsidP="006D1804">
            <w:pPr>
              <w:rPr>
                <w:rFonts w:eastAsia="Calibri" w:cs="Times New Roman"/>
                <w:sz w:val="18"/>
                <w:szCs w:val="18"/>
              </w:rPr>
            </w:pPr>
            <w:r>
              <w:rPr>
                <w:rFonts w:eastAsia="Calibri" w:cs="Times New Roman"/>
                <w:sz w:val="18"/>
                <w:szCs w:val="18"/>
              </w:rPr>
              <w:t>5.2</w:t>
            </w:r>
          </w:p>
        </w:tc>
        <w:tc>
          <w:tcPr>
            <w:tcW w:w="1134" w:type="dxa"/>
          </w:tcPr>
          <w:p w14:paraId="21881F3C" w14:textId="77777777" w:rsidR="00DF5B69" w:rsidRPr="000544A1" w:rsidRDefault="00DF5B69" w:rsidP="006D1804">
            <w:pPr>
              <w:rPr>
                <w:rFonts w:eastAsia="Calibri" w:cs="Times New Roman"/>
                <w:sz w:val="18"/>
                <w:szCs w:val="18"/>
              </w:rPr>
            </w:pPr>
            <w:r w:rsidRPr="000544A1">
              <w:rPr>
                <w:rFonts w:eastAsia="Calibri" w:cs="Times New Roman"/>
                <w:sz w:val="18"/>
                <w:szCs w:val="18"/>
              </w:rPr>
              <w:t>Remittances</w:t>
            </w:r>
          </w:p>
        </w:tc>
        <w:tc>
          <w:tcPr>
            <w:tcW w:w="993" w:type="dxa"/>
          </w:tcPr>
          <w:p w14:paraId="7E2316F6"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2334D73A" w14:textId="77777777" w:rsidR="00DF5B69"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 xml:space="preserve">There are no restrictions or taxes on the inflow of remittances. </w:t>
            </w:r>
          </w:p>
          <w:p w14:paraId="3D31894A" w14:textId="77777777" w:rsidR="00DF5B69" w:rsidRPr="000544A1" w:rsidRDefault="00DF5B69" w:rsidP="001E1C8F">
            <w:pPr>
              <w:spacing w:after="0" w:line="240" w:lineRule="auto"/>
              <w:rPr>
                <w:rFonts w:eastAsia="Calibri" w:cs="Times New Roman"/>
                <w:color w:val="000000"/>
                <w:sz w:val="18"/>
                <w:szCs w:val="18"/>
              </w:rPr>
            </w:pPr>
          </w:p>
          <w:p w14:paraId="306C9EB8"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0 = yes, there are restrictions or taxes</w:t>
            </w:r>
          </w:p>
          <w:p w14:paraId="5211D395"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10 = no, there are no restrictions or taxes</w:t>
            </w:r>
          </w:p>
        </w:tc>
      </w:tr>
      <w:tr w:rsidR="00DF5B69" w:rsidRPr="000544A1" w14:paraId="40A3DF86" w14:textId="77777777" w:rsidTr="00DF5B69">
        <w:tc>
          <w:tcPr>
            <w:tcW w:w="1134" w:type="dxa"/>
          </w:tcPr>
          <w:p w14:paraId="318FD100" w14:textId="60F97002" w:rsidR="00DF5B69" w:rsidRPr="000544A1" w:rsidRDefault="00DF5B69" w:rsidP="006D1804">
            <w:pPr>
              <w:rPr>
                <w:rFonts w:eastAsia="Calibri" w:cs="Times New Roman"/>
                <w:sz w:val="18"/>
                <w:szCs w:val="18"/>
              </w:rPr>
            </w:pPr>
            <w:r>
              <w:rPr>
                <w:rFonts w:eastAsia="Calibri" w:cs="Times New Roman"/>
                <w:sz w:val="18"/>
                <w:szCs w:val="18"/>
              </w:rPr>
              <w:t>5.3</w:t>
            </w:r>
          </w:p>
        </w:tc>
        <w:tc>
          <w:tcPr>
            <w:tcW w:w="1134" w:type="dxa"/>
          </w:tcPr>
          <w:p w14:paraId="7551A7E4" w14:textId="77777777" w:rsidR="00DF5B69" w:rsidRPr="000544A1" w:rsidRDefault="00DF5B69" w:rsidP="006D1804">
            <w:pPr>
              <w:rPr>
                <w:rFonts w:eastAsia="Calibri" w:cs="Times New Roman"/>
                <w:sz w:val="18"/>
                <w:szCs w:val="18"/>
              </w:rPr>
            </w:pPr>
            <w:r w:rsidRPr="000544A1">
              <w:rPr>
                <w:rFonts w:eastAsia="Calibri" w:cs="Times New Roman"/>
                <w:sz w:val="18"/>
                <w:szCs w:val="18"/>
              </w:rPr>
              <w:t>Remittances</w:t>
            </w:r>
          </w:p>
        </w:tc>
        <w:tc>
          <w:tcPr>
            <w:tcW w:w="993" w:type="dxa"/>
          </w:tcPr>
          <w:p w14:paraId="58A2CD30" w14:textId="77777777" w:rsidR="00DF5B69" w:rsidRPr="000544A1" w:rsidRDefault="00DF5B69" w:rsidP="006D1804">
            <w:pPr>
              <w:rPr>
                <w:rFonts w:eastAsia="Calibri" w:cs="Times New Roman"/>
                <w:sz w:val="18"/>
                <w:szCs w:val="18"/>
              </w:rPr>
            </w:pPr>
            <w:r w:rsidRPr="000544A1">
              <w:rPr>
                <w:rFonts w:eastAsia="Calibri" w:cs="Times New Roman"/>
                <w:sz w:val="18"/>
                <w:szCs w:val="18"/>
              </w:rPr>
              <w:t>Outcome</w:t>
            </w:r>
          </w:p>
        </w:tc>
        <w:tc>
          <w:tcPr>
            <w:tcW w:w="9463" w:type="dxa"/>
          </w:tcPr>
          <w:p w14:paraId="78A691E9"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All main migration corridors are serviced by at least three providers.</w:t>
            </w:r>
          </w:p>
          <w:p w14:paraId="293891EE" w14:textId="77777777" w:rsidR="00DF5B69" w:rsidRPr="000544A1" w:rsidRDefault="00DF5B69" w:rsidP="00355E83">
            <w:pPr>
              <w:spacing w:after="0" w:line="240" w:lineRule="auto"/>
              <w:rPr>
                <w:rFonts w:eastAsia="Calibri" w:cs="Times New Roman"/>
                <w:sz w:val="18"/>
                <w:szCs w:val="18"/>
              </w:rPr>
            </w:pPr>
          </w:p>
          <w:p w14:paraId="7A431BB8" w14:textId="77777777" w:rsidR="00DF5B69" w:rsidRPr="000544A1" w:rsidRDefault="00DF5B69" w:rsidP="00355E83">
            <w:pPr>
              <w:spacing w:after="0" w:line="240" w:lineRule="auto"/>
              <w:rPr>
                <w:rFonts w:eastAsia="Calibri" w:cs="Times New Roman"/>
                <w:sz w:val="18"/>
                <w:szCs w:val="18"/>
              </w:rPr>
            </w:pPr>
            <w:r w:rsidRPr="000544A1">
              <w:rPr>
                <w:rFonts w:eastAsia="Calibri" w:cs="Times New Roman"/>
                <w:sz w:val="18"/>
                <w:szCs w:val="18"/>
              </w:rPr>
              <w:t>0 = no</w:t>
            </w:r>
          </w:p>
          <w:p w14:paraId="7B8B4DE3"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sz w:val="18"/>
                <w:szCs w:val="18"/>
              </w:rPr>
              <w:t>10 = yes</w:t>
            </w:r>
          </w:p>
        </w:tc>
      </w:tr>
      <w:tr w:rsidR="00DF5B69" w:rsidRPr="000544A1" w14:paraId="19E79E66" w14:textId="77777777" w:rsidTr="00DF5B69">
        <w:tc>
          <w:tcPr>
            <w:tcW w:w="1134" w:type="dxa"/>
          </w:tcPr>
          <w:p w14:paraId="76EEEA87" w14:textId="5C4AEED7" w:rsidR="00DF5B69" w:rsidRPr="000544A1" w:rsidRDefault="00DF5B69" w:rsidP="006D1804">
            <w:pPr>
              <w:rPr>
                <w:rFonts w:eastAsia="Calibri" w:cs="Times New Roman"/>
                <w:sz w:val="18"/>
                <w:szCs w:val="18"/>
              </w:rPr>
            </w:pPr>
            <w:r>
              <w:rPr>
                <w:rFonts w:eastAsia="Calibri" w:cs="Times New Roman"/>
                <w:sz w:val="18"/>
                <w:szCs w:val="18"/>
              </w:rPr>
              <w:t>5.4</w:t>
            </w:r>
          </w:p>
        </w:tc>
        <w:tc>
          <w:tcPr>
            <w:tcW w:w="1134" w:type="dxa"/>
          </w:tcPr>
          <w:p w14:paraId="46A83B39" w14:textId="77777777" w:rsidR="00DF5B69" w:rsidRPr="000544A1" w:rsidRDefault="00DF5B69" w:rsidP="006D1804">
            <w:pPr>
              <w:rPr>
                <w:rFonts w:eastAsia="Calibri" w:cs="Times New Roman"/>
                <w:sz w:val="18"/>
                <w:szCs w:val="18"/>
              </w:rPr>
            </w:pPr>
            <w:r w:rsidRPr="000544A1">
              <w:rPr>
                <w:rFonts w:eastAsia="Calibri" w:cs="Times New Roman"/>
                <w:sz w:val="18"/>
                <w:szCs w:val="18"/>
              </w:rPr>
              <w:t>Remittances</w:t>
            </w:r>
          </w:p>
        </w:tc>
        <w:tc>
          <w:tcPr>
            <w:tcW w:w="993" w:type="dxa"/>
          </w:tcPr>
          <w:p w14:paraId="3EF4CF0D" w14:textId="77777777" w:rsidR="00DF5B69" w:rsidRPr="000544A1" w:rsidRDefault="00DF5B69" w:rsidP="006D1804">
            <w:pPr>
              <w:rPr>
                <w:rFonts w:eastAsia="Calibri" w:cs="Times New Roman"/>
                <w:sz w:val="18"/>
                <w:szCs w:val="18"/>
              </w:rPr>
            </w:pPr>
            <w:r w:rsidRPr="000544A1">
              <w:rPr>
                <w:rFonts w:eastAsia="Calibri" w:cs="Times New Roman"/>
                <w:sz w:val="18"/>
                <w:szCs w:val="18"/>
              </w:rPr>
              <w:t>Outcome</w:t>
            </w:r>
          </w:p>
        </w:tc>
        <w:tc>
          <w:tcPr>
            <w:tcW w:w="9463" w:type="dxa"/>
          </w:tcPr>
          <w:p w14:paraId="50B7FB4A" w14:textId="77777777"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 xml:space="preserve">Remittance costs are reduced to an average of to 3% in each main corridor </w:t>
            </w:r>
            <w:r w:rsidRPr="000544A1">
              <w:rPr>
                <w:sz w:val="18"/>
              </w:rPr>
              <w:t>through enhanced competition and increased technology</w:t>
            </w:r>
            <w:r w:rsidRPr="000544A1">
              <w:rPr>
                <w:rFonts w:eastAsia="Calibri" w:cs="Times New Roman"/>
                <w:color w:val="000000"/>
                <w:sz w:val="18"/>
                <w:szCs w:val="18"/>
              </w:rPr>
              <w:t>.</w:t>
            </w:r>
          </w:p>
          <w:p w14:paraId="3D30305B" w14:textId="77777777" w:rsidR="00DF5B69" w:rsidRPr="000544A1" w:rsidRDefault="00DF5B69" w:rsidP="00355E83">
            <w:pPr>
              <w:spacing w:after="0" w:line="240" w:lineRule="auto"/>
              <w:rPr>
                <w:rFonts w:eastAsia="Calibri" w:cs="Times New Roman"/>
                <w:color w:val="000000"/>
                <w:sz w:val="18"/>
                <w:szCs w:val="18"/>
              </w:rPr>
            </w:pPr>
          </w:p>
          <w:p w14:paraId="7CBBF12A" w14:textId="77777777"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0 = more than 5%</w:t>
            </w:r>
          </w:p>
          <w:p w14:paraId="511FDDDB" w14:textId="77777777"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5 = between 3% and 5%</w:t>
            </w:r>
          </w:p>
          <w:p w14:paraId="4E8EEF4D"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10 = 3% or less</w:t>
            </w:r>
          </w:p>
        </w:tc>
      </w:tr>
      <w:tr w:rsidR="00DF5B69" w:rsidRPr="000544A1" w14:paraId="6F53D9FA" w14:textId="77777777" w:rsidTr="00DF5B69">
        <w:tc>
          <w:tcPr>
            <w:tcW w:w="1134" w:type="dxa"/>
          </w:tcPr>
          <w:p w14:paraId="5465AAE1" w14:textId="41B9A072" w:rsidR="00DF5B69" w:rsidRPr="000544A1" w:rsidRDefault="00DF5B69" w:rsidP="006D1804">
            <w:pPr>
              <w:rPr>
                <w:rFonts w:eastAsia="Calibri" w:cs="Times New Roman"/>
                <w:sz w:val="18"/>
                <w:szCs w:val="18"/>
              </w:rPr>
            </w:pPr>
            <w:r>
              <w:rPr>
                <w:rFonts w:eastAsia="Calibri" w:cs="Times New Roman"/>
                <w:sz w:val="18"/>
                <w:szCs w:val="18"/>
              </w:rPr>
              <w:t>5.5</w:t>
            </w:r>
          </w:p>
        </w:tc>
        <w:tc>
          <w:tcPr>
            <w:tcW w:w="1134" w:type="dxa"/>
          </w:tcPr>
          <w:p w14:paraId="5B5959CC" w14:textId="77777777" w:rsidR="00DF5B69" w:rsidRPr="000544A1" w:rsidRDefault="00DF5B69" w:rsidP="006D1804">
            <w:pPr>
              <w:rPr>
                <w:rFonts w:eastAsia="Calibri" w:cs="Times New Roman"/>
                <w:sz w:val="18"/>
                <w:szCs w:val="18"/>
              </w:rPr>
            </w:pPr>
            <w:r w:rsidRPr="000544A1">
              <w:rPr>
                <w:rFonts w:eastAsia="Calibri" w:cs="Times New Roman"/>
                <w:sz w:val="18"/>
                <w:szCs w:val="18"/>
              </w:rPr>
              <w:t xml:space="preserve">Financial inclusion </w:t>
            </w:r>
          </w:p>
        </w:tc>
        <w:tc>
          <w:tcPr>
            <w:tcW w:w="993" w:type="dxa"/>
          </w:tcPr>
          <w:p w14:paraId="0DD6BBB5"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01EBC502"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 xml:space="preserve">Financial literacy training is available for migrants and their families. </w:t>
            </w:r>
          </w:p>
          <w:p w14:paraId="4CF17E52" w14:textId="77777777" w:rsidR="00DF5B69" w:rsidRPr="000544A1" w:rsidRDefault="00DF5B69" w:rsidP="001E1C8F">
            <w:pPr>
              <w:spacing w:after="0" w:line="240" w:lineRule="auto"/>
              <w:rPr>
                <w:rFonts w:eastAsia="Calibri" w:cs="Times New Roman"/>
                <w:color w:val="000000"/>
                <w:sz w:val="18"/>
                <w:szCs w:val="18"/>
              </w:rPr>
            </w:pPr>
          </w:p>
          <w:p w14:paraId="642ECD42" w14:textId="0853E6A6" w:rsidR="00DF5B69"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0 = no</w:t>
            </w:r>
          </w:p>
          <w:p w14:paraId="7B94C198" w14:textId="15C43424" w:rsidR="00DF5B69" w:rsidRDefault="00DF5B69" w:rsidP="00465A76">
            <w:pPr>
              <w:spacing w:after="0" w:line="240" w:lineRule="auto"/>
              <w:rPr>
                <w:rFonts w:eastAsia="Calibri" w:cs="Times New Roman"/>
                <w:color w:val="000000"/>
                <w:sz w:val="18"/>
                <w:szCs w:val="18"/>
              </w:rPr>
            </w:pPr>
            <w:r w:rsidRPr="000544A1">
              <w:rPr>
                <w:rFonts w:eastAsia="Calibri" w:cs="Times New Roman"/>
                <w:color w:val="000000"/>
                <w:sz w:val="18"/>
                <w:szCs w:val="18"/>
              </w:rPr>
              <w:lastRenderedPageBreak/>
              <w:t xml:space="preserve">5 = training target some populations (including migrants’ families) </w:t>
            </w:r>
          </w:p>
          <w:p w14:paraId="14D3E420" w14:textId="77777777" w:rsidR="00DF5B69" w:rsidRPr="000544A1" w:rsidRDefault="00DF5B69" w:rsidP="00465A76">
            <w:pPr>
              <w:spacing w:after="0" w:line="240" w:lineRule="auto"/>
              <w:rPr>
                <w:rFonts w:eastAsia="Calibri" w:cs="Times New Roman"/>
                <w:color w:val="000000"/>
                <w:sz w:val="18"/>
                <w:szCs w:val="18"/>
              </w:rPr>
            </w:pPr>
            <w:r w:rsidRPr="000544A1">
              <w:rPr>
                <w:rFonts w:eastAsia="Calibri" w:cs="Times New Roman"/>
                <w:color w:val="000000"/>
                <w:sz w:val="18"/>
                <w:szCs w:val="18"/>
              </w:rPr>
              <w:t>10 = training is universal</w:t>
            </w:r>
          </w:p>
        </w:tc>
      </w:tr>
      <w:tr w:rsidR="00DF5B69" w:rsidRPr="000544A1" w14:paraId="59A0E628" w14:textId="77777777" w:rsidTr="00DF5B69">
        <w:tc>
          <w:tcPr>
            <w:tcW w:w="1134" w:type="dxa"/>
          </w:tcPr>
          <w:p w14:paraId="2E8231AC" w14:textId="094D164D" w:rsidR="00DF5B69" w:rsidRPr="000544A1" w:rsidRDefault="00DF5B69" w:rsidP="006D1804">
            <w:pPr>
              <w:rPr>
                <w:rFonts w:eastAsia="Calibri" w:cs="Times New Roman"/>
                <w:sz w:val="18"/>
                <w:szCs w:val="18"/>
              </w:rPr>
            </w:pPr>
            <w:r>
              <w:rPr>
                <w:rFonts w:eastAsia="Calibri" w:cs="Times New Roman"/>
                <w:sz w:val="18"/>
                <w:szCs w:val="18"/>
              </w:rPr>
              <w:lastRenderedPageBreak/>
              <w:t>5.6</w:t>
            </w:r>
          </w:p>
        </w:tc>
        <w:tc>
          <w:tcPr>
            <w:tcW w:w="1134" w:type="dxa"/>
          </w:tcPr>
          <w:p w14:paraId="53B868AD" w14:textId="77777777" w:rsidR="00DF5B69" w:rsidRPr="000544A1" w:rsidRDefault="00DF5B69" w:rsidP="006D1804">
            <w:pPr>
              <w:rPr>
                <w:rFonts w:eastAsia="Calibri" w:cs="Times New Roman"/>
                <w:sz w:val="18"/>
                <w:szCs w:val="18"/>
              </w:rPr>
            </w:pPr>
            <w:r w:rsidRPr="000544A1">
              <w:rPr>
                <w:rFonts w:eastAsia="Calibri" w:cs="Times New Roman"/>
                <w:sz w:val="18"/>
                <w:szCs w:val="18"/>
              </w:rPr>
              <w:t>Financial inclusion</w:t>
            </w:r>
          </w:p>
        </w:tc>
        <w:tc>
          <w:tcPr>
            <w:tcW w:w="993" w:type="dxa"/>
          </w:tcPr>
          <w:p w14:paraId="6494A2D7"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353804D2" w14:textId="77777777" w:rsidR="00DF5B69" w:rsidRPr="000544A1" w:rsidRDefault="00DF5B69" w:rsidP="001E1C8F">
            <w:pPr>
              <w:spacing w:after="0" w:line="240" w:lineRule="auto"/>
              <w:rPr>
                <w:sz w:val="18"/>
                <w:szCs w:val="18"/>
              </w:rPr>
            </w:pPr>
            <w:r w:rsidRPr="000544A1">
              <w:rPr>
                <w:sz w:val="18"/>
              </w:rPr>
              <w:t>Financial products targeting or including migrants are available (e.g.. savings in foreign currency, savings in local currency, investment products).</w:t>
            </w:r>
          </w:p>
          <w:p w14:paraId="411DC9A6" w14:textId="77777777" w:rsidR="00DF5B69" w:rsidRPr="000544A1" w:rsidRDefault="00DF5B69" w:rsidP="001E1C8F">
            <w:pPr>
              <w:spacing w:after="0" w:line="240" w:lineRule="auto"/>
              <w:rPr>
                <w:sz w:val="18"/>
                <w:szCs w:val="18"/>
              </w:rPr>
            </w:pPr>
          </w:p>
          <w:p w14:paraId="2ECDCB95" w14:textId="77777777" w:rsidR="00DF5B69" w:rsidRPr="000544A1" w:rsidRDefault="00DF5B69" w:rsidP="001E1C8F">
            <w:pPr>
              <w:spacing w:after="0" w:line="240" w:lineRule="auto"/>
              <w:rPr>
                <w:sz w:val="18"/>
                <w:szCs w:val="18"/>
              </w:rPr>
            </w:pPr>
            <w:r w:rsidRPr="000544A1">
              <w:rPr>
                <w:sz w:val="18"/>
                <w:szCs w:val="18"/>
              </w:rPr>
              <w:t>0 = one savings option or less</w:t>
            </w:r>
          </w:p>
          <w:p w14:paraId="2807EAA6" w14:textId="77777777" w:rsidR="00DF5B69" w:rsidRPr="000544A1" w:rsidRDefault="00DF5B69" w:rsidP="001E1C8F">
            <w:pPr>
              <w:spacing w:after="0" w:line="240" w:lineRule="auto"/>
              <w:rPr>
                <w:sz w:val="18"/>
                <w:szCs w:val="18"/>
              </w:rPr>
            </w:pPr>
            <w:r w:rsidRPr="000544A1">
              <w:rPr>
                <w:sz w:val="18"/>
                <w:szCs w:val="18"/>
              </w:rPr>
              <w:t>5 = two savings options</w:t>
            </w:r>
          </w:p>
          <w:p w14:paraId="52C19BC6" w14:textId="77777777" w:rsidR="00DF5B69" w:rsidRPr="000544A1" w:rsidRDefault="00DF5B69" w:rsidP="001E1C8F">
            <w:pPr>
              <w:spacing w:after="0" w:line="240" w:lineRule="auto"/>
              <w:rPr>
                <w:sz w:val="18"/>
                <w:szCs w:val="18"/>
              </w:rPr>
            </w:pPr>
            <w:r w:rsidRPr="000544A1">
              <w:rPr>
                <w:sz w:val="18"/>
                <w:szCs w:val="18"/>
              </w:rPr>
              <w:t xml:space="preserve">10 = three saving options </w:t>
            </w:r>
          </w:p>
        </w:tc>
      </w:tr>
      <w:tr w:rsidR="00DF5B69" w:rsidRPr="000544A1" w14:paraId="763A806A" w14:textId="77777777" w:rsidTr="00DF5B69">
        <w:tc>
          <w:tcPr>
            <w:tcW w:w="1134" w:type="dxa"/>
          </w:tcPr>
          <w:p w14:paraId="02E65C81" w14:textId="6D5D3620" w:rsidR="00DF5B69" w:rsidRPr="000544A1" w:rsidRDefault="00DF5B69" w:rsidP="006D1804">
            <w:pPr>
              <w:rPr>
                <w:rFonts w:eastAsia="Calibri" w:cs="Times New Roman"/>
                <w:sz w:val="18"/>
                <w:szCs w:val="18"/>
              </w:rPr>
            </w:pPr>
            <w:r>
              <w:rPr>
                <w:rFonts w:eastAsia="Calibri" w:cs="Times New Roman"/>
                <w:sz w:val="18"/>
                <w:szCs w:val="18"/>
              </w:rPr>
              <w:t>5.7</w:t>
            </w:r>
          </w:p>
        </w:tc>
        <w:tc>
          <w:tcPr>
            <w:tcW w:w="1134" w:type="dxa"/>
          </w:tcPr>
          <w:p w14:paraId="5A7767AD" w14:textId="77777777" w:rsidR="00DF5B69" w:rsidRPr="000544A1" w:rsidRDefault="00DF5B69" w:rsidP="006D1804">
            <w:pPr>
              <w:rPr>
                <w:rFonts w:eastAsia="Calibri" w:cs="Times New Roman"/>
                <w:sz w:val="18"/>
                <w:szCs w:val="18"/>
              </w:rPr>
            </w:pPr>
            <w:r w:rsidRPr="000544A1">
              <w:rPr>
                <w:rFonts w:eastAsia="Calibri" w:cs="Times New Roman"/>
                <w:sz w:val="18"/>
                <w:szCs w:val="18"/>
              </w:rPr>
              <w:t>Voting rights</w:t>
            </w:r>
          </w:p>
        </w:tc>
        <w:tc>
          <w:tcPr>
            <w:tcW w:w="993" w:type="dxa"/>
          </w:tcPr>
          <w:p w14:paraId="31D13523" w14:textId="77777777" w:rsidR="00DF5B69" w:rsidRPr="000544A1" w:rsidRDefault="00DF5B69" w:rsidP="006D1804">
            <w:pPr>
              <w:rPr>
                <w:rFonts w:eastAsia="Calibri" w:cs="Times New Roman"/>
                <w:strike/>
                <w:sz w:val="18"/>
                <w:szCs w:val="18"/>
              </w:rPr>
            </w:pPr>
            <w:r w:rsidRPr="000544A1">
              <w:rPr>
                <w:rFonts w:eastAsia="Calibri" w:cs="Times New Roman"/>
                <w:sz w:val="18"/>
                <w:szCs w:val="18"/>
              </w:rPr>
              <w:t>Output</w:t>
            </w:r>
          </w:p>
        </w:tc>
        <w:tc>
          <w:tcPr>
            <w:tcW w:w="9463" w:type="dxa"/>
          </w:tcPr>
          <w:p w14:paraId="41F04FAA" w14:textId="77777777"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Citizens residing abroad have the right to vote.</w:t>
            </w:r>
          </w:p>
          <w:p w14:paraId="3B2CFF54" w14:textId="77777777" w:rsidR="00DF5B69" w:rsidRPr="000544A1" w:rsidRDefault="00DF5B69" w:rsidP="00355E83">
            <w:pPr>
              <w:spacing w:after="0" w:line="240" w:lineRule="auto"/>
              <w:rPr>
                <w:rFonts w:eastAsia="Calibri" w:cs="Times New Roman"/>
                <w:color w:val="000000"/>
                <w:sz w:val="18"/>
                <w:szCs w:val="18"/>
              </w:rPr>
            </w:pPr>
          </w:p>
          <w:p w14:paraId="2A86909C" w14:textId="161A419D"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0 = no right to vote</w:t>
            </w:r>
          </w:p>
          <w:p w14:paraId="026CA5D2" w14:textId="7E5821EB" w:rsidR="00DF5B69" w:rsidRPr="000544A1" w:rsidRDefault="00DF5B69" w:rsidP="00355E83">
            <w:pPr>
              <w:spacing w:after="0" w:line="240" w:lineRule="auto"/>
              <w:rPr>
                <w:rFonts w:eastAsia="Calibri" w:cs="Times New Roman"/>
                <w:color w:val="000000"/>
                <w:sz w:val="18"/>
                <w:szCs w:val="18"/>
              </w:rPr>
            </w:pPr>
            <w:r w:rsidRPr="000544A1">
              <w:rPr>
                <w:rFonts w:eastAsia="Calibri" w:cs="Times New Roman"/>
                <w:color w:val="000000"/>
                <w:sz w:val="18"/>
                <w:szCs w:val="18"/>
              </w:rPr>
              <w:t>5 = right to vote physically in the country of origin</w:t>
            </w:r>
          </w:p>
          <w:p w14:paraId="1D2212BA" w14:textId="77777777" w:rsidR="00DF5B69" w:rsidRPr="000544A1" w:rsidRDefault="00DF5B69" w:rsidP="001E1C8F">
            <w:pPr>
              <w:spacing w:after="0" w:line="240" w:lineRule="auto"/>
              <w:rPr>
                <w:rFonts w:eastAsia="Calibri" w:cs="Times New Roman"/>
                <w:color w:val="000000"/>
                <w:sz w:val="18"/>
                <w:szCs w:val="18"/>
              </w:rPr>
            </w:pPr>
            <w:r w:rsidRPr="000544A1">
              <w:rPr>
                <w:rFonts w:eastAsia="Calibri" w:cs="Times New Roman"/>
                <w:color w:val="000000"/>
                <w:sz w:val="18"/>
                <w:szCs w:val="18"/>
              </w:rPr>
              <w:t>10 = right to vote absentee from abroad</w:t>
            </w:r>
          </w:p>
        </w:tc>
      </w:tr>
      <w:tr w:rsidR="00DF5B69" w:rsidRPr="000544A1" w14:paraId="78347470" w14:textId="77777777" w:rsidTr="00DF5B69">
        <w:tc>
          <w:tcPr>
            <w:tcW w:w="1134" w:type="dxa"/>
          </w:tcPr>
          <w:p w14:paraId="4380E7C7" w14:textId="2BF265A2" w:rsidR="00DF5B69" w:rsidRPr="000544A1" w:rsidRDefault="00DF5B69" w:rsidP="006D1804">
            <w:pPr>
              <w:rPr>
                <w:rFonts w:eastAsia="Calibri" w:cs="Times New Roman"/>
                <w:sz w:val="18"/>
                <w:szCs w:val="18"/>
              </w:rPr>
            </w:pPr>
            <w:r>
              <w:rPr>
                <w:rFonts w:eastAsia="Calibri" w:cs="Times New Roman"/>
                <w:sz w:val="18"/>
                <w:szCs w:val="18"/>
              </w:rPr>
              <w:t>5.8</w:t>
            </w:r>
          </w:p>
        </w:tc>
        <w:tc>
          <w:tcPr>
            <w:tcW w:w="1134" w:type="dxa"/>
          </w:tcPr>
          <w:p w14:paraId="43488F1D" w14:textId="77777777" w:rsidR="00DF5B69" w:rsidRPr="000544A1" w:rsidRDefault="00DF5B69" w:rsidP="006D1804">
            <w:pPr>
              <w:rPr>
                <w:rFonts w:eastAsia="Calibri" w:cs="Times New Roman"/>
                <w:sz w:val="18"/>
                <w:szCs w:val="18"/>
              </w:rPr>
            </w:pPr>
            <w:r w:rsidRPr="000544A1">
              <w:rPr>
                <w:rFonts w:eastAsia="Calibri" w:cs="Times New Roman"/>
                <w:sz w:val="18"/>
                <w:szCs w:val="18"/>
              </w:rPr>
              <w:t>Diaspora engagement</w:t>
            </w:r>
          </w:p>
        </w:tc>
        <w:tc>
          <w:tcPr>
            <w:tcW w:w="993" w:type="dxa"/>
          </w:tcPr>
          <w:p w14:paraId="51A732DC" w14:textId="77777777" w:rsidR="00DF5B69" w:rsidRPr="000544A1" w:rsidRDefault="00DF5B69" w:rsidP="006D1804">
            <w:pPr>
              <w:rPr>
                <w:rFonts w:eastAsia="Calibri" w:cs="Times New Roman"/>
                <w:sz w:val="18"/>
                <w:szCs w:val="18"/>
              </w:rPr>
            </w:pPr>
            <w:r w:rsidRPr="000544A1">
              <w:rPr>
                <w:rFonts w:eastAsia="Calibri" w:cs="Times New Roman"/>
                <w:sz w:val="18"/>
                <w:szCs w:val="18"/>
              </w:rPr>
              <w:t>Input</w:t>
            </w:r>
          </w:p>
        </w:tc>
        <w:tc>
          <w:tcPr>
            <w:tcW w:w="9463" w:type="dxa"/>
          </w:tcPr>
          <w:p w14:paraId="16570E45" w14:textId="77777777" w:rsidR="00DF5B69" w:rsidRPr="000544A1" w:rsidRDefault="00DF5B69" w:rsidP="00465A76">
            <w:pPr>
              <w:spacing w:after="0" w:line="240" w:lineRule="auto"/>
              <w:rPr>
                <w:sz w:val="18"/>
              </w:rPr>
            </w:pPr>
            <w:r w:rsidRPr="000544A1">
              <w:rPr>
                <w:sz w:val="18"/>
              </w:rPr>
              <w:t xml:space="preserve">The government has policies or instruments to facilitate the transfer of skills and knowledge of diaspora back to the origin country. </w:t>
            </w:r>
          </w:p>
          <w:p w14:paraId="24CB3992" w14:textId="77777777" w:rsidR="00DF5B69" w:rsidRPr="000544A1" w:rsidRDefault="00DF5B69" w:rsidP="001E1C8F">
            <w:pPr>
              <w:spacing w:after="0" w:line="240" w:lineRule="auto"/>
              <w:rPr>
                <w:sz w:val="18"/>
              </w:rPr>
            </w:pPr>
          </w:p>
          <w:p w14:paraId="236C5AFA" w14:textId="77777777" w:rsidR="00DF5B69" w:rsidRPr="000544A1" w:rsidRDefault="00DF5B69" w:rsidP="001E1C8F">
            <w:pPr>
              <w:spacing w:after="0" w:line="240" w:lineRule="auto"/>
              <w:rPr>
                <w:sz w:val="18"/>
              </w:rPr>
            </w:pPr>
            <w:r w:rsidRPr="000544A1">
              <w:rPr>
                <w:sz w:val="18"/>
              </w:rPr>
              <w:t>0 = no</w:t>
            </w:r>
          </w:p>
          <w:p w14:paraId="0EEAE07F" w14:textId="77777777" w:rsidR="00DF5B69" w:rsidRPr="000544A1" w:rsidRDefault="00DF5B69" w:rsidP="001E1C8F">
            <w:pPr>
              <w:spacing w:after="0" w:line="240" w:lineRule="auto"/>
              <w:rPr>
                <w:sz w:val="18"/>
              </w:rPr>
            </w:pPr>
            <w:r w:rsidRPr="000544A1">
              <w:rPr>
                <w:sz w:val="18"/>
              </w:rPr>
              <w:t>10 = yes</w:t>
            </w:r>
          </w:p>
        </w:tc>
      </w:tr>
      <w:tr w:rsidR="00DF5B69" w:rsidRPr="000544A1" w14:paraId="507D9A32" w14:textId="77777777" w:rsidTr="00DF5B69">
        <w:tc>
          <w:tcPr>
            <w:tcW w:w="1134" w:type="dxa"/>
          </w:tcPr>
          <w:p w14:paraId="04985A34" w14:textId="0D31C302" w:rsidR="00DF5B69" w:rsidRPr="000544A1" w:rsidRDefault="00DF5B69" w:rsidP="006D1804">
            <w:pPr>
              <w:rPr>
                <w:rFonts w:eastAsia="Calibri" w:cs="Times New Roman"/>
                <w:sz w:val="18"/>
                <w:szCs w:val="18"/>
              </w:rPr>
            </w:pPr>
            <w:r>
              <w:rPr>
                <w:rFonts w:eastAsia="Calibri" w:cs="Times New Roman"/>
                <w:sz w:val="18"/>
                <w:szCs w:val="18"/>
              </w:rPr>
              <w:t>5.9</w:t>
            </w:r>
          </w:p>
        </w:tc>
        <w:tc>
          <w:tcPr>
            <w:tcW w:w="1134" w:type="dxa"/>
          </w:tcPr>
          <w:p w14:paraId="63C93430" w14:textId="77777777" w:rsidR="00DF5B69" w:rsidRPr="000544A1" w:rsidRDefault="00DF5B69" w:rsidP="006D1804">
            <w:pPr>
              <w:rPr>
                <w:rFonts w:eastAsia="Calibri" w:cs="Times New Roman"/>
                <w:sz w:val="18"/>
                <w:szCs w:val="18"/>
              </w:rPr>
            </w:pPr>
            <w:r w:rsidRPr="000544A1">
              <w:rPr>
                <w:rFonts w:eastAsia="Calibri" w:cs="Times New Roman"/>
                <w:sz w:val="18"/>
                <w:szCs w:val="18"/>
              </w:rPr>
              <w:t>Diaspora engagement</w:t>
            </w:r>
          </w:p>
        </w:tc>
        <w:tc>
          <w:tcPr>
            <w:tcW w:w="993" w:type="dxa"/>
          </w:tcPr>
          <w:p w14:paraId="38E3F13A"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1BAA051B" w14:textId="77777777" w:rsidR="00DF5B69" w:rsidRPr="000544A1" w:rsidRDefault="00DF5B69" w:rsidP="001E1C8F">
            <w:pPr>
              <w:spacing w:after="0" w:line="240" w:lineRule="auto"/>
              <w:rPr>
                <w:sz w:val="18"/>
              </w:rPr>
            </w:pPr>
            <w:r w:rsidRPr="000544A1">
              <w:rPr>
                <w:sz w:val="18"/>
              </w:rPr>
              <w:t>There is a government ministry or body that works on diaspora issues.</w:t>
            </w:r>
          </w:p>
          <w:p w14:paraId="649297C6" w14:textId="77777777" w:rsidR="00DF5B69" w:rsidRPr="000544A1" w:rsidRDefault="00DF5B69" w:rsidP="001E1C8F">
            <w:pPr>
              <w:spacing w:after="0" w:line="240" w:lineRule="auto"/>
              <w:rPr>
                <w:sz w:val="18"/>
              </w:rPr>
            </w:pPr>
          </w:p>
          <w:p w14:paraId="66D58542" w14:textId="77777777" w:rsidR="00DF5B69" w:rsidRPr="000544A1" w:rsidRDefault="00DF5B69" w:rsidP="001E1C8F">
            <w:pPr>
              <w:spacing w:after="0" w:line="240" w:lineRule="auto"/>
              <w:rPr>
                <w:sz w:val="18"/>
              </w:rPr>
            </w:pPr>
            <w:r w:rsidRPr="000544A1">
              <w:rPr>
                <w:sz w:val="18"/>
              </w:rPr>
              <w:t>0 = no</w:t>
            </w:r>
          </w:p>
          <w:p w14:paraId="28661842" w14:textId="77777777" w:rsidR="00DF5B69" w:rsidRPr="000544A1" w:rsidRDefault="00DF5B69" w:rsidP="001E1C8F">
            <w:pPr>
              <w:spacing w:after="0" w:line="240" w:lineRule="auto"/>
              <w:rPr>
                <w:sz w:val="18"/>
              </w:rPr>
            </w:pPr>
            <w:r w:rsidRPr="000544A1">
              <w:rPr>
                <w:sz w:val="18"/>
              </w:rPr>
              <w:t xml:space="preserve">10 = yes </w:t>
            </w:r>
          </w:p>
        </w:tc>
      </w:tr>
      <w:tr w:rsidR="00DF5B69" w:rsidRPr="000544A1" w14:paraId="16CE499A" w14:textId="77777777" w:rsidTr="00DF5B69">
        <w:tc>
          <w:tcPr>
            <w:tcW w:w="1134" w:type="dxa"/>
          </w:tcPr>
          <w:p w14:paraId="49695EB1" w14:textId="4912DE52" w:rsidR="00DF5B69" w:rsidRPr="000544A1" w:rsidRDefault="00DF5B69" w:rsidP="006D1804">
            <w:pPr>
              <w:rPr>
                <w:rFonts w:eastAsia="Calibri" w:cs="Times New Roman"/>
                <w:sz w:val="18"/>
                <w:szCs w:val="18"/>
              </w:rPr>
            </w:pPr>
            <w:r>
              <w:rPr>
                <w:rFonts w:eastAsia="Calibri" w:cs="Times New Roman"/>
                <w:sz w:val="18"/>
                <w:szCs w:val="18"/>
              </w:rPr>
              <w:t>5.10</w:t>
            </w:r>
          </w:p>
        </w:tc>
        <w:tc>
          <w:tcPr>
            <w:tcW w:w="1134" w:type="dxa"/>
          </w:tcPr>
          <w:p w14:paraId="6A6280BE" w14:textId="77777777" w:rsidR="00DF5B69" w:rsidRPr="000544A1" w:rsidRDefault="00DF5B69" w:rsidP="006D1804">
            <w:pPr>
              <w:rPr>
                <w:rFonts w:eastAsia="Calibri" w:cs="Times New Roman"/>
                <w:strike/>
                <w:sz w:val="18"/>
                <w:szCs w:val="18"/>
              </w:rPr>
            </w:pPr>
            <w:r w:rsidRPr="000544A1">
              <w:rPr>
                <w:rFonts w:eastAsia="Calibri" w:cs="Times New Roman"/>
                <w:sz w:val="18"/>
                <w:szCs w:val="18"/>
              </w:rPr>
              <w:t>Diaspora engagement</w:t>
            </w:r>
          </w:p>
        </w:tc>
        <w:tc>
          <w:tcPr>
            <w:tcW w:w="993" w:type="dxa"/>
          </w:tcPr>
          <w:p w14:paraId="5FF1EE0F" w14:textId="77777777" w:rsidR="00DF5B69" w:rsidRPr="000544A1" w:rsidRDefault="00DF5B69" w:rsidP="006D1804">
            <w:pPr>
              <w:rPr>
                <w:rFonts w:eastAsia="Calibri" w:cs="Times New Roman"/>
                <w:sz w:val="18"/>
                <w:szCs w:val="18"/>
              </w:rPr>
            </w:pPr>
            <w:r w:rsidRPr="000544A1">
              <w:rPr>
                <w:rFonts w:eastAsia="Calibri" w:cs="Times New Roman"/>
                <w:sz w:val="18"/>
                <w:szCs w:val="18"/>
              </w:rPr>
              <w:t>Output</w:t>
            </w:r>
          </w:p>
        </w:tc>
        <w:tc>
          <w:tcPr>
            <w:tcW w:w="9463" w:type="dxa"/>
          </w:tcPr>
          <w:p w14:paraId="5F46AB03" w14:textId="17413F47" w:rsidR="00DF5B69" w:rsidRPr="000544A1" w:rsidRDefault="00DF5B69" w:rsidP="001E1C8F">
            <w:pPr>
              <w:spacing w:after="0" w:line="240" w:lineRule="auto"/>
              <w:rPr>
                <w:sz w:val="18"/>
                <w:szCs w:val="18"/>
              </w:rPr>
            </w:pPr>
            <w:r w:rsidRPr="000544A1">
              <w:rPr>
                <w:sz w:val="18"/>
                <w:szCs w:val="18"/>
              </w:rPr>
              <w:t xml:space="preserve">Beyond consular services, the government provides its nationals abroad with support services related to investment, trade development of their </w:t>
            </w:r>
            <w:r>
              <w:rPr>
                <w:sz w:val="18"/>
                <w:szCs w:val="18"/>
              </w:rPr>
              <w:t>country of origin</w:t>
            </w:r>
            <w:r w:rsidRPr="000544A1">
              <w:rPr>
                <w:sz w:val="18"/>
                <w:szCs w:val="18"/>
              </w:rPr>
              <w:t>.</w:t>
            </w:r>
          </w:p>
          <w:p w14:paraId="351B6BB4" w14:textId="77777777" w:rsidR="00DF5B69" w:rsidRPr="000544A1" w:rsidRDefault="00DF5B69" w:rsidP="001E1C8F">
            <w:pPr>
              <w:spacing w:after="0" w:line="240" w:lineRule="auto"/>
              <w:rPr>
                <w:sz w:val="18"/>
                <w:szCs w:val="18"/>
              </w:rPr>
            </w:pPr>
          </w:p>
          <w:p w14:paraId="28C9C312" w14:textId="231107A5" w:rsidR="00DF5B69" w:rsidRDefault="00DF5B69" w:rsidP="001E1C8F">
            <w:pPr>
              <w:spacing w:after="0" w:line="240" w:lineRule="auto"/>
              <w:rPr>
                <w:sz w:val="18"/>
                <w:szCs w:val="18"/>
              </w:rPr>
            </w:pPr>
            <w:r w:rsidRPr="000544A1">
              <w:rPr>
                <w:sz w:val="18"/>
                <w:szCs w:val="18"/>
              </w:rPr>
              <w:t>0 = no</w:t>
            </w:r>
          </w:p>
          <w:p w14:paraId="350767A3" w14:textId="5F5F121E" w:rsidR="00DF5B69" w:rsidRDefault="00DF5B69" w:rsidP="00465A76">
            <w:pPr>
              <w:spacing w:after="0" w:line="240" w:lineRule="auto"/>
              <w:rPr>
                <w:sz w:val="18"/>
                <w:szCs w:val="18"/>
              </w:rPr>
            </w:pPr>
            <w:r w:rsidRPr="000544A1">
              <w:rPr>
                <w:sz w:val="18"/>
                <w:szCs w:val="18"/>
              </w:rPr>
              <w:t>5 = services in line with either local or national development needs</w:t>
            </w:r>
          </w:p>
          <w:p w14:paraId="781FB366" w14:textId="77777777" w:rsidR="00DF5B69" w:rsidRPr="000544A1" w:rsidRDefault="00DF5B69" w:rsidP="00465A76">
            <w:pPr>
              <w:spacing w:after="0" w:line="240" w:lineRule="auto"/>
              <w:rPr>
                <w:sz w:val="18"/>
              </w:rPr>
            </w:pPr>
            <w:r w:rsidRPr="000544A1">
              <w:rPr>
                <w:sz w:val="18"/>
                <w:szCs w:val="18"/>
              </w:rPr>
              <w:t>10 = services in line with both national and local development needs</w:t>
            </w:r>
          </w:p>
        </w:tc>
      </w:tr>
    </w:tbl>
    <w:p w14:paraId="3D86834F" w14:textId="77777777" w:rsidR="00C771F3" w:rsidRDefault="00C771F3" w:rsidP="00CC7F48">
      <w:pPr>
        <w:suppressAutoHyphens w:val="0"/>
        <w:spacing w:after="160" w:line="259" w:lineRule="auto"/>
        <w:jc w:val="center"/>
        <w:rPr>
          <w:rFonts w:asciiTheme="majorHAnsi" w:hAnsiTheme="majorHAnsi"/>
          <w:b/>
          <w:sz w:val="36"/>
          <w:szCs w:val="36"/>
        </w:rPr>
      </w:pPr>
    </w:p>
    <w:p w14:paraId="2AA44DA3" w14:textId="77777777" w:rsidR="00CC7F48" w:rsidRDefault="00CC7F48" w:rsidP="00CC7F48">
      <w:pPr>
        <w:suppressAutoHyphens w:val="0"/>
        <w:spacing w:after="160" w:line="259" w:lineRule="auto"/>
        <w:jc w:val="center"/>
        <w:rPr>
          <w:rFonts w:asciiTheme="majorHAnsi" w:hAnsiTheme="majorHAnsi"/>
          <w:sz w:val="36"/>
          <w:szCs w:val="36"/>
        </w:rPr>
      </w:pPr>
      <w:r w:rsidRPr="000A31A6">
        <w:rPr>
          <w:rFonts w:asciiTheme="majorHAnsi" w:hAnsiTheme="majorHAnsi"/>
          <w:b/>
          <w:sz w:val="36"/>
          <w:szCs w:val="36"/>
        </w:rPr>
        <w:t>Annex 1</w:t>
      </w:r>
    </w:p>
    <w:p w14:paraId="7C43370F" w14:textId="6F1CF721" w:rsidR="00CC7F48" w:rsidRDefault="00CC7F48" w:rsidP="00CC7F48">
      <w:pPr>
        <w:suppressAutoHyphens w:val="0"/>
        <w:spacing w:after="160" w:line="259" w:lineRule="auto"/>
        <w:jc w:val="center"/>
        <w:rPr>
          <w:rFonts w:asciiTheme="majorHAnsi" w:hAnsiTheme="majorHAnsi"/>
          <w:sz w:val="36"/>
          <w:szCs w:val="36"/>
        </w:rPr>
      </w:pPr>
      <w:r w:rsidRPr="000A31A6">
        <w:rPr>
          <w:rFonts w:asciiTheme="majorHAnsi" w:hAnsiTheme="majorHAnsi"/>
          <w:sz w:val="36"/>
          <w:szCs w:val="36"/>
        </w:rPr>
        <w:t xml:space="preserve">Indicative list of </w:t>
      </w:r>
      <w:r w:rsidR="00AC5E13">
        <w:rPr>
          <w:rFonts w:asciiTheme="majorHAnsi" w:hAnsiTheme="majorHAnsi"/>
          <w:sz w:val="36"/>
          <w:szCs w:val="36"/>
        </w:rPr>
        <w:t>fora/events</w:t>
      </w:r>
      <w:r w:rsidRPr="000A31A6">
        <w:rPr>
          <w:rFonts w:asciiTheme="majorHAnsi" w:hAnsiTheme="majorHAnsi"/>
          <w:sz w:val="36"/>
          <w:szCs w:val="36"/>
        </w:rPr>
        <w:t xml:space="preserve"> on</w:t>
      </w:r>
      <w:r w:rsidR="00D91B3D">
        <w:rPr>
          <w:rFonts w:asciiTheme="majorHAnsi" w:hAnsiTheme="majorHAnsi"/>
          <w:sz w:val="36"/>
          <w:szCs w:val="36"/>
        </w:rPr>
        <w:t xml:space="preserve"> migration and development (2013</w:t>
      </w:r>
      <w:r w:rsidRPr="000A31A6">
        <w:rPr>
          <w:rFonts w:asciiTheme="majorHAnsi" w:hAnsiTheme="majorHAnsi"/>
          <w:sz w:val="36"/>
          <w:szCs w:val="36"/>
        </w:rPr>
        <w:t>-2015)</w:t>
      </w:r>
    </w:p>
    <w:p w14:paraId="39A43A47" w14:textId="77777777" w:rsidR="00CC7F48" w:rsidRDefault="00CC7F48" w:rsidP="00CC7F48">
      <w:pPr>
        <w:spacing w:after="0" w:line="240" w:lineRule="auto"/>
      </w:pPr>
    </w:p>
    <w:p w14:paraId="508482A7" w14:textId="77777777" w:rsidR="00D91B3D" w:rsidRDefault="00D91B3D" w:rsidP="00D91B3D">
      <w:pPr>
        <w:pStyle w:val="Listparagraf"/>
        <w:numPr>
          <w:ilvl w:val="0"/>
          <w:numId w:val="28"/>
        </w:numPr>
        <w:suppressAutoHyphens w:val="0"/>
        <w:spacing w:after="0"/>
        <w:jc w:val="left"/>
      </w:pPr>
      <w:r>
        <w:t>UN High Level Dialogue on International Migration and Development (“HLD”) in New York (3 &amp; 4 October 2013).</w:t>
      </w:r>
    </w:p>
    <w:p w14:paraId="22ADAD50" w14:textId="77777777" w:rsidR="00D91B3D" w:rsidRPr="003111E3" w:rsidRDefault="00D91B3D" w:rsidP="00D91B3D">
      <w:pPr>
        <w:pStyle w:val="Listparagraf"/>
        <w:numPr>
          <w:ilvl w:val="0"/>
          <w:numId w:val="28"/>
        </w:numPr>
        <w:suppressAutoHyphens w:val="0"/>
        <w:spacing w:after="0"/>
        <w:jc w:val="left"/>
        <w:rPr>
          <w:bCs/>
        </w:rPr>
      </w:pPr>
      <w:r w:rsidRPr="003111E3">
        <w:rPr>
          <w:bCs/>
        </w:rPr>
        <w:t>GFMD 7th Summit Meeting, held in Sweden on 14-16 May 2014</w:t>
      </w:r>
    </w:p>
    <w:p w14:paraId="257CEBB8" w14:textId="2FD65AA8" w:rsidR="00D91B3D" w:rsidRPr="003111E3" w:rsidRDefault="00D91B3D" w:rsidP="00D91B3D">
      <w:pPr>
        <w:pStyle w:val="Listparagraf"/>
        <w:numPr>
          <w:ilvl w:val="0"/>
          <w:numId w:val="28"/>
        </w:numPr>
        <w:suppressAutoHyphens w:val="0"/>
        <w:spacing w:after="0"/>
        <w:jc w:val="left"/>
      </w:pPr>
      <w:r w:rsidRPr="00D91B3D">
        <w:lastRenderedPageBreak/>
        <w:t>The Third Asia-EU Dialogue on Labour Migration, 15-16 October 2014, Colombo Sri Lanka (The 11 member countries of the Colombo Process and the 28 European Union members).</w:t>
      </w:r>
    </w:p>
    <w:p w14:paraId="718C82A1" w14:textId="109BABF7" w:rsidR="00D91B3D" w:rsidRDefault="00D91B3D" w:rsidP="00D91B3D">
      <w:pPr>
        <w:pStyle w:val="Listparagraf"/>
        <w:numPr>
          <w:ilvl w:val="0"/>
          <w:numId w:val="28"/>
        </w:numPr>
        <w:suppressAutoHyphens w:val="0"/>
        <w:spacing w:after="0"/>
        <w:jc w:val="left"/>
      </w:pPr>
      <w:r w:rsidRPr="00D91B3D">
        <w:t>UN Twelfth Coordination Meeting on International Migration, New York, 20-21 February 2014.</w:t>
      </w:r>
    </w:p>
    <w:p w14:paraId="5AAD55B0" w14:textId="77777777" w:rsidR="00D91B3D" w:rsidRDefault="00D91B3D" w:rsidP="00D91B3D">
      <w:pPr>
        <w:pStyle w:val="Listparagraf"/>
        <w:numPr>
          <w:ilvl w:val="0"/>
          <w:numId w:val="28"/>
        </w:numPr>
        <w:suppressAutoHyphens w:val="0"/>
        <w:spacing w:after="0"/>
        <w:jc w:val="left"/>
      </w:pPr>
      <w:r>
        <w:rPr>
          <w:bCs/>
        </w:rPr>
        <w:t>OHCHR</w:t>
      </w:r>
      <w:r>
        <w:rPr>
          <w:rFonts w:ascii="Times New Roman" w:eastAsia="Times New Roman" w:hAnsi="Times New Roman" w:cs="Times New Roman"/>
          <w:sz w:val="24"/>
          <w:szCs w:val="24"/>
        </w:rPr>
        <w:t xml:space="preserve"> </w:t>
      </w:r>
      <w:r>
        <w:t>high-level meeting on “Migration and human rights: towards the 2013 High Level Dialogue on International Migration and Development” on 4 September 2013 in Geneva.</w:t>
      </w:r>
    </w:p>
    <w:p w14:paraId="5ECA80B3" w14:textId="77777777" w:rsidR="00D91B3D" w:rsidRDefault="00D91B3D" w:rsidP="00D91B3D">
      <w:pPr>
        <w:pStyle w:val="Listparagraf"/>
        <w:numPr>
          <w:ilvl w:val="0"/>
          <w:numId w:val="28"/>
        </w:numPr>
        <w:suppressAutoHyphens w:val="0"/>
        <w:spacing w:after="0"/>
        <w:jc w:val="left"/>
      </w:pPr>
      <w:r>
        <w:t>High-level Expert Policy Dialogue on Migration in the Post 2015 Development Agenda, Stockholm, Sweden, 26 February 2013.</w:t>
      </w:r>
    </w:p>
    <w:p w14:paraId="491138A8" w14:textId="77777777" w:rsidR="00D91B3D" w:rsidRDefault="00D91B3D" w:rsidP="00D91B3D">
      <w:pPr>
        <w:pStyle w:val="Listparagraf"/>
        <w:numPr>
          <w:ilvl w:val="0"/>
          <w:numId w:val="28"/>
        </w:numPr>
        <w:spacing w:after="0"/>
      </w:pPr>
      <w:r>
        <w:t xml:space="preserve">OECD High-Level Policy forum on Migration 2014, 1 December </w:t>
      </w:r>
      <w:r w:rsidRPr="005C1AB6">
        <w:t xml:space="preserve">2014 - </w:t>
      </w:r>
      <w:r>
        <w:t>December</w:t>
      </w:r>
      <w:r w:rsidRPr="005C1AB6">
        <w:t xml:space="preserve"> 2, 2014</w:t>
      </w:r>
      <w:r>
        <w:t xml:space="preserve"> </w:t>
      </w:r>
      <w:r w:rsidRPr="005C1AB6">
        <w:t>Paris, France</w:t>
      </w:r>
      <w:r>
        <w:t xml:space="preserve"> </w:t>
      </w:r>
    </w:p>
    <w:p w14:paraId="7B3231FF" w14:textId="77777777" w:rsidR="00D91B3D" w:rsidRPr="003111E3" w:rsidRDefault="00D91B3D" w:rsidP="00D91B3D">
      <w:pPr>
        <w:pStyle w:val="Listparagraf"/>
        <w:numPr>
          <w:ilvl w:val="0"/>
          <w:numId w:val="28"/>
        </w:numPr>
        <w:spacing w:after="0"/>
        <w:rPr>
          <w:color w:val="000000"/>
          <w:lang w:val="en"/>
        </w:rPr>
      </w:pPr>
      <w:r w:rsidRPr="003111E3">
        <w:rPr>
          <w:color w:val="000000"/>
          <w:lang w:val="en"/>
        </w:rPr>
        <w:t>4th Euro-African Ministerial Conference on Migration and Development</w:t>
      </w:r>
      <w:r>
        <w:rPr>
          <w:color w:val="000000"/>
          <w:lang w:val="en"/>
        </w:rPr>
        <w:t xml:space="preserve">, </w:t>
      </w:r>
      <w:r w:rsidRPr="003111E3">
        <w:rPr>
          <w:lang w:val="en"/>
        </w:rPr>
        <w:t>27 November 2014</w:t>
      </w:r>
      <w:r>
        <w:rPr>
          <w:lang w:val="en"/>
        </w:rPr>
        <w:t xml:space="preserve"> </w:t>
      </w:r>
      <w:r w:rsidRPr="003111E3">
        <w:rPr>
          <w:lang w:val="en"/>
        </w:rPr>
        <w:t>Rome, Italy</w:t>
      </w:r>
    </w:p>
    <w:p w14:paraId="6F21B81C" w14:textId="77777777" w:rsidR="00D91B3D" w:rsidRDefault="00D91B3D" w:rsidP="00D91B3D">
      <w:pPr>
        <w:pStyle w:val="Listparagraf"/>
        <w:numPr>
          <w:ilvl w:val="0"/>
          <w:numId w:val="39"/>
        </w:numPr>
        <w:spacing w:after="0"/>
      </w:pPr>
      <w:r>
        <w:t>The Global Diaspora and Development Forum, 31 October</w:t>
      </w:r>
      <w:r w:rsidRPr="005C1AB6">
        <w:t xml:space="preserve"> 2014 - Novem</w:t>
      </w:r>
      <w:r>
        <w:t>ber</w:t>
      </w:r>
      <w:r w:rsidRPr="005C1AB6">
        <w:t xml:space="preserve"> 1, 2014</w:t>
      </w:r>
      <w:r>
        <w:t xml:space="preserve">, </w:t>
      </w:r>
      <w:r w:rsidRPr="005C1AB6">
        <w:t>Dublin, Ireland</w:t>
      </w:r>
    </w:p>
    <w:p w14:paraId="6AE44462" w14:textId="77777777" w:rsidR="00D91B3D" w:rsidRDefault="00D91B3D" w:rsidP="00D91B3D">
      <w:pPr>
        <w:pStyle w:val="Listparagraf"/>
        <w:numPr>
          <w:ilvl w:val="0"/>
          <w:numId w:val="39"/>
        </w:numPr>
        <w:spacing w:after="0"/>
      </w:pPr>
      <w:r>
        <w:t>Global Forum on Remittances and Development, 16-19 June 2015, Milan, Italy</w:t>
      </w:r>
    </w:p>
    <w:p w14:paraId="3CAAC9BA" w14:textId="77777777" w:rsidR="00D91B3D" w:rsidRDefault="00D91B3D" w:rsidP="00D91B3D">
      <w:pPr>
        <w:pStyle w:val="Listparagraf"/>
        <w:numPr>
          <w:ilvl w:val="0"/>
          <w:numId w:val="39"/>
        </w:numPr>
        <w:spacing w:after="0"/>
      </w:pPr>
      <w:r>
        <w:t>The Global Experts Meeting on Migration in the Post-2015 Development Agenda, 28-29 April 2014, Dhaka, Bangladesh</w:t>
      </w:r>
    </w:p>
    <w:p w14:paraId="3125D2FC" w14:textId="77777777" w:rsidR="00D91B3D" w:rsidRPr="003111E3" w:rsidRDefault="00D91B3D" w:rsidP="00D91B3D">
      <w:pPr>
        <w:pStyle w:val="Listparagraf"/>
        <w:numPr>
          <w:ilvl w:val="0"/>
          <w:numId w:val="39"/>
        </w:numPr>
        <w:spacing w:after="0"/>
        <w:rPr>
          <w:lang w:val="fr-FR"/>
        </w:rPr>
      </w:pPr>
      <w:r w:rsidRPr="003111E3">
        <w:rPr>
          <w:lang w:val="fr-FR"/>
        </w:rPr>
        <w:t xml:space="preserve">IOM’s International Dialogue on Migration, </w:t>
      </w:r>
      <w:r>
        <w:rPr>
          <w:lang w:val="fr-FR"/>
        </w:rPr>
        <w:t>7-8 October, Geneva, Switzerland</w:t>
      </w:r>
      <w:bookmarkStart w:id="0" w:name="_GoBack"/>
      <w:bookmarkEnd w:id="0"/>
    </w:p>
    <w:sectPr w:rsidR="00D91B3D" w:rsidRPr="003111E3" w:rsidSect="008B56B6">
      <w:headerReference w:type="even" r:id="rId8"/>
      <w:headerReference w:type="default" r:id="rId9"/>
      <w:footerReference w:type="default" r:id="rId10"/>
      <w:headerReference w:type="first" r:id="rId11"/>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ECAC5" w14:textId="77777777" w:rsidR="00F41D5E" w:rsidRDefault="00F41D5E" w:rsidP="006730B7">
      <w:pPr>
        <w:spacing w:after="0" w:line="240" w:lineRule="auto"/>
      </w:pPr>
      <w:r>
        <w:separator/>
      </w:r>
    </w:p>
  </w:endnote>
  <w:endnote w:type="continuationSeparator" w:id="0">
    <w:p w14:paraId="6D7B1AB2" w14:textId="77777777" w:rsidR="00F41D5E" w:rsidRDefault="00F41D5E" w:rsidP="0067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undesSerif Regular">
    <w:altName w:val="BundesSerif Regular"/>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oundrySterling-Bold">
    <w:altName w:val="Foundry Sterling"/>
    <w:panose1 w:val="00000000000000000000"/>
    <w:charset w:val="00"/>
    <w:family w:val="swiss"/>
    <w:notTrueType/>
    <w:pitch w:val="default"/>
    <w:sig w:usb0="00000003" w:usb1="00000000" w:usb2="00000000" w:usb3="00000000" w:csb0="00000001" w:csb1="00000000"/>
  </w:font>
  <w:font w:name="Calibri-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420724"/>
      <w:docPartObj>
        <w:docPartGallery w:val="Page Numbers (Bottom of Page)"/>
        <w:docPartUnique/>
      </w:docPartObj>
    </w:sdtPr>
    <w:sdtEndPr>
      <w:rPr>
        <w:noProof/>
      </w:rPr>
    </w:sdtEndPr>
    <w:sdtContent>
      <w:p w14:paraId="67FCF4D9" w14:textId="77777777" w:rsidR="00D179A0" w:rsidRDefault="00D179A0">
        <w:pPr>
          <w:pStyle w:val="Subsol"/>
          <w:jc w:val="center"/>
        </w:pPr>
        <w:r>
          <w:fldChar w:fldCharType="begin"/>
        </w:r>
        <w:r>
          <w:instrText xml:space="preserve"> PAGE   \* MERGEFORMAT </w:instrText>
        </w:r>
        <w:r>
          <w:fldChar w:fldCharType="separate"/>
        </w:r>
        <w:r w:rsidR="00C771F3">
          <w:rPr>
            <w:noProof/>
          </w:rPr>
          <w:t>9</w:t>
        </w:r>
        <w:r>
          <w:rPr>
            <w:noProof/>
          </w:rPr>
          <w:fldChar w:fldCharType="end"/>
        </w:r>
      </w:p>
    </w:sdtContent>
  </w:sdt>
  <w:p w14:paraId="6E4A1866" w14:textId="77777777" w:rsidR="00D179A0" w:rsidRDefault="00D179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C798B" w14:textId="77777777" w:rsidR="00F41D5E" w:rsidRDefault="00F41D5E" w:rsidP="006730B7">
      <w:pPr>
        <w:spacing w:after="0" w:line="240" w:lineRule="auto"/>
      </w:pPr>
      <w:r>
        <w:separator/>
      </w:r>
    </w:p>
  </w:footnote>
  <w:footnote w:type="continuationSeparator" w:id="0">
    <w:p w14:paraId="364BF863" w14:textId="77777777" w:rsidR="00F41D5E" w:rsidRDefault="00F41D5E" w:rsidP="006730B7">
      <w:pPr>
        <w:spacing w:after="0" w:line="240" w:lineRule="auto"/>
      </w:pPr>
      <w:r>
        <w:continuationSeparator/>
      </w:r>
    </w:p>
  </w:footnote>
  <w:footnote w:id="1">
    <w:p w14:paraId="3DF673E2" w14:textId="0A68E972" w:rsidR="00564F0E" w:rsidRDefault="00564F0E">
      <w:pPr>
        <w:pStyle w:val="Textnotdesubsol"/>
      </w:pPr>
      <w:r>
        <w:rPr>
          <w:rStyle w:val="Referinnotdesubsol"/>
        </w:rPr>
        <w:footnoteRef/>
      </w:r>
      <w:r>
        <w:t xml:space="preserve"> See Annex 1</w:t>
      </w:r>
      <w:r w:rsidR="00755834">
        <w:t xml:space="preserve"> on pg. 11</w:t>
      </w:r>
      <w:r>
        <w:t xml:space="preserve"> for an indicative list of fora on migration and development. Please note that this list is not exhaustive, and we are eager to know what other fora you may have participated in.  </w:t>
      </w:r>
    </w:p>
  </w:footnote>
  <w:footnote w:id="2">
    <w:p w14:paraId="036F0115" w14:textId="57960AD0" w:rsidR="000D57A0" w:rsidRDefault="000D57A0">
      <w:pPr>
        <w:pStyle w:val="Textnotdesubsol"/>
      </w:pPr>
      <w:r>
        <w:rPr>
          <w:rStyle w:val="Referinnotdesubsol"/>
        </w:rPr>
        <w:footnoteRef/>
      </w:r>
      <w:r>
        <w:t xml:space="preserve"> Please note that this threshold will be defined after data is collected from all participating countries.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6111" w14:textId="77777777" w:rsidR="00D179A0" w:rsidRDefault="00F41D5E">
    <w:pPr>
      <w:pStyle w:val="Antet"/>
    </w:pPr>
    <w:r>
      <w:rPr>
        <w:noProof/>
      </w:rPr>
      <w:pict w14:anchorId="52968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572" o:spid="_x0000_s2062"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AE98" w14:textId="77777777" w:rsidR="00D179A0" w:rsidRDefault="00F41D5E">
    <w:pPr>
      <w:pStyle w:val="Antet"/>
    </w:pPr>
    <w:r>
      <w:rPr>
        <w:noProof/>
      </w:rPr>
      <w:pict w14:anchorId="7416B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573" o:spid="_x0000_s2063"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6F11F481" w14:textId="77777777" w:rsidR="00D179A0" w:rsidRDefault="00D179A0">
    <w:pPr>
      <w:pStyle w:val="Antet"/>
    </w:pPr>
  </w:p>
  <w:p w14:paraId="1EDDD94C" w14:textId="77777777" w:rsidR="00D179A0" w:rsidRDefault="00D179A0">
    <w:pPr>
      <w:pStyle w:val="Antet"/>
    </w:pPr>
  </w:p>
  <w:p w14:paraId="3FE609C2" w14:textId="77777777" w:rsidR="00D179A0" w:rsidRDefault="00D179A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19636" w14:textId="77777777" w:rsidR="00D179A0" w:rsidRDefault="00F41D5E">
    <w:pPr>
      <w:pStyle w:val="Antet"/>
    </w:pPr>
    <w:r>
      <w:rPr>
        <w:noProof/>
      </w:rPr>
      <w:pict w14:anchorId="26975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571" o:spid="_x0000_s2061"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819"/>
    <w:multiLevelType w:val="hybridMultilevel"/>
    <w:tmpl w:val="98C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26FB5"/>
    <w:multiLevelType w:val="hybridMultilevel"/>
    <w:tmpl w:val="F4AE5A20"/>
    <w:lvl w:ilvl="0" w:tplc="228A696C">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C4362"/>
    <w:multiLevelType w:val="hybridMultilevel"/>
    <w:tmpl w:val="9FF054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0D4074"/>
    <w:multiLevelType w:val="hybridMultilevel"/>
    <w:tmpl w:val="DD28D780"/>
    <w:lvl w:ilvl="0" w:tplc="825454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41BE5"/>
    <w:multiLevelType w:val="multilevel"/>
    <w:tmpl w:val="9F68D2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163C8"/>
    <w:multiLevelType w:val="hybridMultilevel"/>
    <w:tmpl w:val="2E3030CC"/>
    <w:lvl w:ilvl="0" w:tplc="59E2C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4633D"/>
    <w:multiLevelType w:val="hybridMultilevel"/>
    <w:tmpl w:val="97B460D2"/>
    <w:lvl w:ilvl="0" w:tplc="F7923702">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628EF"/>
    <w:multiLevelType w:val="hybridMultilevel"/>
    <w:tmpl w:val="54A6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7B8F"/>
    <w:multiLevelType w:val="hybridMultilevel"/>
    <w:tmpl w:val="5270F8B6"/>
    <w:lvl w:ilvl="0" w:tplc="ECB6BDD8">
      <w:start w:val="1"/>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EB3E9A"/>
    <w:multiLevelType w:val="hybridMultilevel"/>
    <w:tmpl w:val="F4D2C1E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590FD5"/>
    <w:multiLevelType w:val="hybridMultilevel"/>
    <w:tmpl w:val="F5BCF7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F70F9"/>
    <w:multiLevelType w:val="hybridMultilevel"/>
    <w:tmpl w:val="9B50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E3D77"/>
    <w:multiLevelType w:val="hybridMultilevel"/>
    <w:tmpl w:val="45CE4B12"/>
    <w:lvl w:ilvl="0" w:tplc="DA884D6A">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B1761"/>
    <w:multiLevelType w:val="hybridMultilevel"/>
    <w:tmpl w:val="1A520C3E"/>
    <w:lvl w:ilvl="0" w:tplc="23D27C0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22335"/>
    <w:multiLevelType w:val="hybridMultilevel"/>
    <w:tmpl w:val="2E3030CC"/>
    <w:lvl w:ilvl="0" w:tplc="59E2C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5058D"/>
    <w:multiLevelType w:val="hybridMultilevel"/>
    <w:tmpl w:val="81DE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525A3"/>
    <w:multiLevelType w:val="hybridMultilevel"/>
    <w:tmpl w:val="5406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04634"/>
    <w:multiLevelType w:val="multilevel"/>
    <w:tmpl w:val="83A24328"/>
    <w:lvl w:ilvl="0">
      <w:start w:val="1"/>
      <w:numFmt w:val="decimal"/>
      <w:lvlText w:val="2.%1."/>
      <w:lvlJc w:val="left"/>
      <w:pPr>
        <w:ind w:left="360" w:hanging="360"/>
      </w:pPr>
      <w:rPr>
        <w:rFonts w:hint="default"/>
        <w:b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A62E3"/>
    <w:multiLevelType w:val="hybridMultilevel"/>
    <w:tmpl w:val="5F06C2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726E05"/>
    <w:multiLevelType w:val="hybridMultilevel"/>
    <w:tmpl w:val="0E54EBD6"/>
    <w:lvl w:ilvl="0" w:tplc="0413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C97657"/>
    <w:multiLevelType w:val="hybridMultilevel"/>
    <w:tmpl w:val="E91C5800"/>
    <w:lvl w:ilvl="0" w:tplc="01C419B0">
      <w:numFmt w:val="bullet"/>
      <w:lvlText w:val=""/>
      <w:lvlJc w:val="left"/>
      <w:pPr>
        <w:ind w:left="720" w:hanging="360"/>
      </w:pPr>
      <w:rPr>
        <w:rFonts w:ascii="Symbol" w:eastAsia="SimSu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36759"/>
    <w:multiLevelType w:val="hybridMultilevel"/>
    <w:tmpl w:val="0D04AD46"/>
    <w:lvl w:ilvl="0" w:tplc="6818B77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1487A"/>
    <w:multiLevelType w:val="hybridMultilevel"/>
    <w:tmpl w:val="58DE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475F6"/>
    <w:multiLevelType w:val="hybridMultilevel"/>
    <w:tmpl w:val="FFF03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71F1875"/>
    <w:multiLevelType w:val="hybridMultilevel"/>
    <w:tmpl w:val="CBE80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63E0"/>
    <w:multiLevelType w:val="hybridMultilevel"/>
    <w:tmpl w:val="7CEAC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92E0D95"/>
    <w:multiLevelType w:val="hybridMultilevel"/>
    <w:tmpl w:val="BE5C7108"/>
    <w:lvl w:ilvl="0" w:tplc="7098F286">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B477F"/>
    <w:multiLevelType w:val="hybridMultilevel"/>
    <w:tmpl w:val="3F96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43C03"/>
    <w:multiLevelType w:val="hybridMultilevel"/>
    <w:tmpl w:val="2F0419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141BAB"/>
    <w:multiLevelType w:val="hybridMultilevel"/>
    <w:tmpl w:val="767CE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97541"/>
    <w:multiLevelType w:val="hybridMultilevel"/>
    <w:tmpl w:val="182E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73B11"/>
    <w:multiLevelType w:val="hybridMultilevel"/>
    <w:tmpl w:val="7F88E6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65A97"/>
    <w:multiLevelType w:val="hybridMultilevel"/>
    <w:tmpl w:val="11F8C6BE"/>
    <w:lvl w:ilvl="0" w:tplc="224899E2">
      <w:numFmt w:val="bullet"/>
      <w:lvlText w:val="•"/>
      <w:lvlJc w:val="left"/>
      <w:pPr>
        <w:ind w:left="720" w:hanging="360"/>
      </w:pPr>
      <w:rPr>
        <w:rFonts w:ascii="Garamond" w:eastAsiaTheme="minorHAnsi"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57BC6"/>
    <w:multiLevelType w:val="hybridMultilevel"/>
    <w:tmpl w:val="8D7C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43689"/>
    <w:multiLevelType w:val="hybridMultilevel"/>
    <w:tmpl w:val="7BDE5D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216B5"/>
    <w:multiLevelType w:val="hybridMultilevel"/>
    <w:tmpl w:val="D35E6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22131"/>
    <w:multiLevelType w:val="hybridMultilevel"/>
    <w:tmpl w:val="B1DCF1BA"/>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7" w15:restartNumberingAfterBreak="0">
    <w:nsid w:val="771C4D7E"/>
    <w:multiLevelType w:val="hybridMultilevel"/>
    <w:tmpl w:val="C7A0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D5BBF"/>
    <w:multiLevelType w:val="hybridMultilevel"/>
    <w:tmpl w:val="2C9E3110"/>
    <w:lvl w:ilvl="0" w:tplc="45E4D2B0">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4"/>
  </w:num>
  <w:num w:numId="3">
    <w:abstractNumId w:val="27"/>
  </w:num>
  <w:num w:numId="4">
    <w:abstractNumId w:val="36"/>
  </w:num>
  <w:num w:numId="5">
    <w:abstractNumId w:val="1"/>
  </w:num>
  <w:num w:numId="6">
    <w:abstractNumId w:val="38"/>
  </w:num>
  <w:num w:numId="7">
    <w:abstractNumId w:val="9"/>
  </w:num>
  <w:num w:numId="8">
    <w:abstractNumId w:val="8"/>
  </w:num>
  <w:num w:numId="9">
    <w:abstractNumId w:val="3"/>
  </w:num>
  <w:num w:numId="10">
    <w:abstractNumId w:val="12"/>
  </w:num>
  <w:num w:numId="11">
    <w:abstractNumId w:val="31"/>
  </w:num>
  <w:num w:numId="12">
    <w:abstractNumId w:val="34"/>
  </w:num>
  <w:num w:numId="13">
    <w:abstractNumId w:val="10"/>
  </w:num>
  <w:num w:numId="14">
    <w:abstractNumId w:val="29"/>
  </w:num>
  <w:num w:numId="15">
    <w:abstractNumId w:val="18"/>
  </w:num>
  <w:num w:numId="16">
    <w:abstractNumId w:val="23"/>
  </w:num>
  <w:num w:numId="17">
    <w:abstractNumId w:val="2"/>
  </w:num>
  <w:num w:numId="18">
    <w:abstractNumId w:val="25"/>
  </w:num>
  <w:num w:numId="19">
    <w:abstractNumId w:val="5"/>
  </w:num>
  <w:num w:numId="20">
    <w:abstractNumId w:val="15"/>
  </w:num>
  <w:num w:numId="21">
    <w:abstractNumId w:val="33"/>
  </w:num>
  <w:num w:numId="22">
    <w:abstractNumId w:val="16"/>
  </w:num>
  <w:num w:numId="23">
    <w:abstractNumId w:val="35"/>
  </w:num>
  <w:num w:numId="24">
    <w:abstractNumId w:val="7"/>
  </w:num>
  <w:num w:numId="25">
    <w:abstractNumId w:val="30"/>
  </w:num>
  <w:num w:numId="26">
    <w:abstractNumId w:val="0"/>
  </w:num>
  <w:num w:numId="27">
    <w:abstractNumId w:val="28"/>
  </w:num>
  <w:num w:numId="28">
    <w:abstractNumId w:val="22"/>
  </w:num>
  <w:num w:numId="29">
    <w:abstractNumId w:val="19"/>
  </w:num>
  <w:num w:numId="30">
    <w:abstractNumId w:val="26"/>
  </w:num>
  <w:num w:numId="31">
    <w:abstractNumId w:val="32"/>
  </w:num>
  <w:num w:numId="32">
    <w:abstractNumId w:val="17"/>
  </w:num>
  <w:num w:numId="33">
    <w:abstractNumId w:val="24"/>
  </w:num>
  <w:num w:numId="34">
    <w:abstractNumId w:val="6"/>
  </w:num>
  <w:num w:numId="35">
    <w:abstractNumId w:val="13"/>
  </w:num>
  <w:num w:numId="36">
    <w:abstractNumId w:val="4"/>
  </w:num>
  <w:num w:numId="37">
    <w:abstractNumId w:val="11"/>
  </w:num>
  <w:num w:numId="38">
    <w:abstractNumId w:val="2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B7"/>
    <w:rsid w:val="00004C04"/>
    <w:rsid w:val="00013DC7"/>
    <w:rsid w:val="00021C61"/>
    <w:rsid w:val="000238B0"/>
    <w:rsid w:val="00024FE3"/>
    <w:rsid w:val="000322BC"/>
    <w:rsid w:val="000366B3"/>
    <w:rsid w:val="0003694D"/>
    <w:rsid w:val="000379B8"/>
    <w:rsid w:val="0004000B"/>
    <w:rsid w:val="0004102C"/>
    <w:rsid w:val="00045361"/>
    <w:rsid w:val="00047402"/>
    <w:rsid w:val="00053EAB"/>
    <w:rsid w:val="000544A1"/>
    <w:rsid w:val="00060802"/>
    <w:rsid w:val="00061862"/>
    <w:rsid w:val="0006700A"/>
    <w:rsid w:val="00075CFC"/>
    <w:rsid w:val="000771F1"/>
    <w:rsid w:val="000776AA"/>
    <w:rsid w:val="00077DE0"/>
    <w:rsid w:val="00080B2A"/>
    <w:rsid w:val="00085B20"/>
    <w:rsid w:val="00094322"/>
    <w:rsid w:val="00094C18"/>
    <w:rsid w:val="000961FA"/>
    <w:rsid w:val="000A7611"/>
    <w:rsid w:val="000B3EF8"/>
    <w:rsid w:val="000B6867"/>
    <w:rsid w:val="000B687E"/>
    <w:rsid w:val="000B76E2"/>
    <w:rsid w:val="000C71A3"/>
    <w:rsid w:val="000D2311"/>
    <w:rsid w:val="000D31A4"/>
    <w:rsid w:val="000D4E32"/>
    <w:rsid w:val="000D57A0"/>
    <w:rsid w:val="000E1D44"/>
    <w:rsid w:val="000E26CA"/>
    <w:rsid w:val="000E67AA"/>
    <w:rsid w:val="000F6689"/>
    <w:rsid w:val="000F7282"/>
    <w:rsid w:val="001043A9"/>
    <w:rsid w:val="00107020"/>
    <w:rsid w:val="001108C6"/>
    <w:rsid w:val="00111D71"/>
    <w:rsid w:val="00114785"/>
    <w:rsid w:val="00117C55"/>
    <w:rsid w:val="00121D92"/>
    <w:rsid w:val="0012287B"/>
    <w:rsid w:val="00131710"/>
    <w:rsid w:val="00132AAC"/>
    <w:rsid w:val="00133786"/>
    <w:rsid w:val="00136CA2"/>
    <w:rsid w:val="0014212B"/>
    <w:rsid w:val="00142A0E"/>
    <w:rsid w:val="001430D1"/>
    <w:rsid w:val="0014690D"/>
    <w:rsid w:val="00146E8B"/>
    <w:rsid w:val="001500CF"/>
    <w:rsid w:val="00154E39"/>
    <w:rsid w:val="00155D5F"/>
    <w:rsid w:val="00155DF9"/>
    <w:rsid w:val="00155E9B"/>
    <w:rsid w:val="0016116C"/>
    <w:rsid w:val="0016493C"/>
    <w:rsid w:val="001659D0"/>
    <w:rsid w:val="00171A7D"/>
    <w:rsid w:val="00174481"/>
    <w:rsid w:val="00174B61"/>
    <w:rsid w:val="001778A8"/>
    <w:rsid w:val="00177DAD"/>
    <w:rsid w:val="001826C7"/>
    <w:rsid w:val="00184B77"/>
    <w:rsid w:val="001867C5"/>
    <w:rsid w:val="00186AC2"/>
    <w:rsid w:val="00191943"/>
    <w:rsid w:val="00197BC5"/>
    <w:rsid w:val="001A3EE3"/>
    <w:rsid w:val="001A55A1"/>
    <w:rsid w:val="001A6986"/>
    <w:rsid w:val="001B18FE"/>
    <w:rsid w:val="001B1ACC"/>
    <w:rsid w:val="001B2FB2"/>
    <w:rsid w:val="001B6C19"/>
    <w:rsid w:val="001C3614"/>
    <w:rsid w:val="001C519E"/>
    <w:rsid w:val="001C5E2C"/>
    <w:rsid w:val="001C606B"/>
    <w:rsid w:val="001C6574"/>
    <w:rsid w:val="001C6F3A"/>
    <w:rsid w:val="001D1C09"/>
    <w:rsid w:val="001D31EE"/>
    <w:rsid w:val="001D49C3"/>
    <w:rsid w:val="001D4BBA"/>
    <w:rsid w:val="001D68E2"/>
    <w:rsid w:val="001E1C8F"/>
    <w:rsid w:val="001E34FA"/>
    <w:rsid w:val="001E3EDF"/>
    <w:rsid w:val="001E4CCE"/>
    <w:rsid w:val="001E514B"/>
    <w:rsid w:val="001E57E7"/>
    <w:rsid w:val="001E66E4"/>
    <w:rsid w:val="001F152C"/>
    <w:rsid w:val="001F3DCD"/>
    <w:rsid w:val="001F6362"/>
    <w:rsid w:val="002010C5"/>
    <w:rsid w:val="00201EFE"/>
    <w:rsid w:val="00202738"/>
    <w:rsid w:val="00203C94"/>
    <w:rsid w:val="002043DD"/>
    <w:rsid w:val="0021126D"/>
    <w:rsid w:val="00217776"/>
    <w:rsid w:val="00221027"/>
    <w:rsid w:val="002213A3"/>
    <w:rsid w:val="002258AC"/>
    <w:rsid w:val="0023133A"/>
    <w:rsid w:val="0023161C"/>
    <w:rsid w:val="0023382F"/>
    <w:rsid w:val="00233B3F"/>
    <w:rsid w:val="002355ED"/>
    <w:rsid w:val="002362CB"/>
    <w:rsid w:val="00236817"/>
    <w:rsid w:val="0023709A"/>
    <w:rsid w:val="00237398"/>
    <w:rsid w:val="0023749E"/>
    <w:rsid w:val="00245340"/>
    <w:rsid w:val="00245F2A"/>
    <w:rsid w:val="002464C5"/>
    <w:rsid w:val="00251EFC"/>
    <w:rsid w:val="002544EC"/>
    <w:rsid w:val="00262FFF"/>
    <w:rsid w:val="002633AE"/>
    <w:rsid w:val="002634C7"/>
    <w:rsid w:val="00264221"/>
    <w:rsid w:val="00264EF6"/>
    <w:rsid w:val="00265940"/>
    <w:rsid w:val="00266B72"/>
    <w:rsid w:val="00272E2B"/>
    <w:rsid w:val="002736B8"/>
    <w:rsid w:val="00282FC8"/>
    <w:rsid w:val="00285645"/>
    <w:rsid w:val="00290E5B"/>
    <w:rsid w:val="002920E7"/>
    <w:rsid w:val="00294ABA"/>
    <w:rsid w:val="002954E8"/>
    <w:rsid w:val="00297868"/>
    <w:rsid w:val="002A2BEE"/>
    <w:rsid w:val="002A4BBC"/>
    <w:rsid w:val="002A610B"/>
    <w:rsid w:val="002B1D40"/>
    <w:rsid w:val="002B28AB"/>
    <w:rsid w:val="002B5507"/>
    <w:rsid w:val="002B7522"/>
    <w:rsid w:val="002C05D3"/>
    <w:rsid w:val="002C06FC"/>
    <w:rsid w:val="002C1137"/>
    <w:rsid w:val="002C2242"/>
    <w:rsid w:val="002C4B28"/>
    <w:rsid w:val="002D04B0"/>
    <w:rsid w:val="002D20A8"/>
    <w:rsid w:val="002D2E7F"/>
    <w:rsid w:val="002E14E2"/>
    <w:rsid w:val="002E1F44"/>
    <w:rsid w:val="002E2EC7"/>
    <w:rsid w:val="002E3ECC"/>
    <w:rsid w:val="002E53BE"/>
    <w:rsid w:val="002E6716"/>
    <w:rsid w:val="002F0C1E"/>
    <w:rsid w:val="002F1731"/>
    <w:rsid w:val="002F216D"/>
    <w:rsid w:val="002F3617"/>
    <w:rsid w:val="002F4932"/>
    <w:rsid w:val="003008CD"/>
    <w:rsid w:val="00302260"/>
    <w:rsid w:val="00303BB4"/>
    <w:rsid w:val="00306B2D"/>
    <w:rsid w:val="003070EF"/>
    <w:rsid w:val="003103A1"/>
    <w:rsid w:val="003106C1"/>
    <w:rsid w:val="00312E58"/>
    <w:rsid w:val="00314453"/>
    <w:rsid w:val="003178E2"/>
    <w:rsid w:val="0031799E"/>
    <w:rsid w:val="00320382"/>
    <w:rsid w:val="00320501"/>
    <w:rsid w:val="00321202"/>
    <w:rsid w:val="00321307"/>
    <w:rsid w:val="00322458"/>
    <w:rsid w:val="00323A93"/>
    <w:rsid w:val="0033060A"/>
    <w:rsid w:val="003328C4"/>
    <w:rsid w:val="00332988"/>
    <w:rsid w:val="00335034"/>
    <w:rsid w:val="0034285D"/>
    <w:rsid w:val="00343C0A"/>
    <w:rsid w:val="00346F45"/>
    <w:rsid w:val="00351FE6"/>
    <w:rsid w:val="00352605"/>
    <w:rsid w:val="00355E83"/>
    <w:rsid w:val="003570B3"/>
    <w:rsid w:val="00360696"/>
    <w:rsid w:val="003672FA"/>
    <w:rsid w:val="00372D58"/>
    <w:rsid w:val="00372EB2"/>
    <w:rsid w:val="00372EED"/>
    <w:rsid w:val="003759B1"/>
    <w:rsid w:val="0037626F"/>
    <w:rsid w:val="00381B4A"/>
    <w:rsid w:val="00382299"/>
    <w:rsid w:val="003840C5"/>
    <w:rsid w:val="00387425"/>
    <w:rsid w:val="003875C0"/>
    <w:rsid w:val="00387CB6"/>
    <w:rsid w:val="00390E9E"/>
    <w:rsid w:val="00390F45"/>
    <w:rsid w:val="003939C9"/>
    <w:rsid w:val="00394598"/>
    <w:rsid w:val="0039466B"/>
    <w:rsid w:val="00397BE4"/>
    <w:rsid w:val="00397D12"/>
    <w:rsid w:val="00397E23"/>
    <w:rsid w:val="003A0932"/>
    <w:rsid w:val="003A0AD2"/>
    <w:rsid w:val="003A32BF"/>
    <w:rsid w:val="003A3CBD"/>
    <w:rsid w:val="003A4FC2"/>
    <w:rsid w:val="003A5907"/>
    <w:rsid w:val="003A5E69"/>
    <w:rsid w:val="003A73EE"/>
    <w:rsid w:val="003A7C0E"/>
    <w:rsid w:val="003B3102"/>
    <w:rsid w:val="003B5583"/>
    <w:rsid w:val="003B59C6"/>
    <w:rsid w:val="003C182A"/>
    <w:rsid w:val="003C45E3"/>
    <w:rsid w:val="003C58D5"/>
    <w:rsid w:val="003C6634"/>
    <w:rsid w:val="003D2155"/>
    <w:rsid w:val="003D4D52"/>
    <w:rsid w:val="003D736A"/>
    <w:rsid w:val="003E0D0B"/>
    <w:rsid w:val="003E19DC"/>
    <w:rsid w:val="003E1EAC"/>
    <w:rsid w:val="003E2680"/>
    <w:rsid w:val="003E3D2F"/>
    <w:rsid w:val="003E6997"/>
    <w:rsid w:val="003E6FB4"/>
    <w:rsid w:val="003E70F9"/>
    <w:rsid w:val="003F01D7"/>
    <w:rsid w:val="003F16BA"/>
    <w:rsid w:val="003F2858"/>
    <w:rsid w:val="003F29A5"/>
    <w:rsid w:val="003F3D32"/>
    <w:rsid w:val="003F5550"/>
    <w:rsid w:val="00406A59"/>
    <w:rsid w:val="00416FE7"/>
    <w:rsid w:val="00422377"/>
    <w:rsid w:val="00423255"/>
    <w:rsid w:val="00423692"/>
    <w:rsid w:val="00427210"/>
    <w:rsid w:val="00432E4E"/>
    <w:rsid w:val="004335AC"/>
    <w:rsid w:val="004367F4"/>
    <w:rsid w:val="00437F6B"/>
    <w:rsid w:val="00441E6D"/>
    <w:rsid w:val="00442057"/>
    <w:rsid w:val="004428AB"/>
    <w:rsid w:val="004445FE"/>
    <w:rsid w:val="004458EC"/>
    <w:rsid w:val="0046030C"/>
    <w:rsid w:val="004616C1"/>
    <w:rsid w:val="004641FD"/>
    <w:rsid w:val="004651BB"/>
    <w:rsid w:val="00465A76"/>
    <w:rsid w:val="004663FF"/>
    <w:rsid w:val="00466A6A"/>
    <w:rsid w:val="004708A3"/>
    <w:rsid w:val="0047482A"/>
    <w:rsid w:val="00474AF5"/>
    <w:rsid w:val="00484A37"/>
    <w:rsid w:val="00487CEA"/>
    <w:rsid w:val="00491090"/>
    <w:rsid w:val="004921E3"/>
    <w:rsid w:val="004925FF"/>
    <w:rsid w:val="004941A2"/>
    <w:rsid w:val="004A52E1"/>
    <w:rsid w:val="004B310A"/>
    <w:rsid w:val="004B60ED"/>
    <w:rsid w:val="004B627B"/>
    <w:rsid w:val="004B67E7"/>
    <w:rsid w:val="004B7134"/>
    <w:rsid w:val="004B731B"/>
    <w:rsid w:val="004B74F7"/>
    <w:rsid w:val="004B75BD"/>
    <w:rsid w:val="004C4456"/>
    <w:rsid w:val="004C5BE1"/>
    <w:rsid w:val="004C5BE5"/>
    <w:rsid w:val="004D0B39"/>
    <w:rsid w:val="004D0EDC"/>
    <w:rsid w:val="004D4998"/>
    <w:rsid w:val="004E05EC"/>
    <w:rsid w:val="004E6CF1"/>
    <w:rsid w:val="004F3A3E"/>
    <w:rsid w:val="004F55DA"/>
    <w:rsid w:val="005001B7"/>
    <w:rsid w:val="005043B0"/>
    <w:rsid w:val="005048EE"/>
    <w:rsid w:val="00504E36"/>
    <w:rsid w:val="005068E2"/>
    <w:rsid w:val="00510D80"/>
    <w:rsid w:val="00511066"/>
    <w:rsid w:val="00512C8A"/>
    <w:rsid w:val="00515238"/>
    <w:rsid w:val="005217B5"/>
    <w:rsid w:val="00522F60"/>
    <w:rsid w:val="00525AFB"/>
    <w:rsid w:val="00526580"/>
    <w:rsid w:val="00526E94"/>
    <w:rsid w:val="0052761E"/>
    <w:rsid w:val="00531704"/>
    <w:rsid w:val="00532A31"/>
    <w:rsid w:val="005331C9"/>
    <w:rsid w:val="0053426D"/>
    <w:rsid w:val="005343BD"/>
    <w:rsid w:val="005359F3"/>
    <w:rsid w:val="005403A8"/>
    <w:rsid w:val="00540A0F"/>
    <w:rsid w:val="005419B0"/>
    <w:rsid w:val="00541ED9"/>
    <w:rsid w:val="00543009"/>
    <w:rsid w:val="00551219"/>
    <w:rsid w:val="0055416D"/>
    <w:rsid w:val="005556A3"/>
    <w:rsid w:val="00556138"/>
    <w:rsid w:val="00556BD7"/>
    <w:rsid w:val="00557A5A"/>
    <w:rsid w:val="005607C4"/>
    <w:rsid w:val="00562001"/>
    <w:rsid w:val="00564825"/>
    <w:rsid w:val="00564F0E"/>
    <w:rsid w:val="0056607B"/>
    <w:rsid w:val="005712CB"/>
    <w:rsid w:val="00572BB6"/>
    <w:rsid w:val="00572BE0"/>
    <w:rsid w:val="00572C0E"/>
    <w:rsid w:val="00573277"/>
    <w:rsid w:val="005744FF"/>
    <w:rsid w:val="00576591"/>
    <w:rsid w:val="00583EEE"/>
    <w:rsid w:val="00587CF0"/>
    <w:rsid w:val="00591600"/>
    <w:rsid w:val="00597A21"/>
    <w:rsid w:val="005A012A"/>
    <w:rsid w:val="005A28AB"/>
    <w:rsid w:val="005B1616"/>
    <w:rsid w:val="005B349E"/>
    <w:rsid w:val="005B52B4"/>
    <w:rsid w:val="005B6A87"/>
    <w:rsid w:val="005B7F67"/>
    <w:rsid w:val="005C1018"/>
    <w:rsid w:val="005C30AB"/>
    <w:rsid w:val="005C5BFC"/>
    <w:rsid w:val="005C6D02"/>
    <w:rsid w:val="005C7501"/>
    <w:rsid w:val="005D0720"/>
    <w:rsid w:val="005D0A80"/>
    <w:rsid w:val="005D25E5"/>
    <w:rsid w:val="005E34EE"/>
    <w:rsid w:val="005E51C4"/>
    <w:rsid w:val="005F14A8"/>
    <w:rsid w:val="005F1FC1"/>
    <w:rsid w:val="005F2D87"/>
    <w:rsid w:val="005F2F6C"/>
    <w:rsid w:val="00600B9C"/>
    <w:rsid w:val="006015CE"/>
    <w:rsid w:val="00603ED5"/>
    <w:rsid w:val="006046F5"/>
    <w:rsid w:val="00605873"/>
    <w:rsid w:val="0060773F"/>
    <w:rsid w:val="0061219C"/>
    <w:rsid w:val="00617A99"/>
    <w:rsid w:val="00622D83"/>
    <w:rsid w:val="00622E39"/>
    <w:rsid w:val="00623022"/>
    <w:rsid w:val="006245D8"/>
    <w:rsid w:val="0062475D"/>
    <w:rsid w:val="00624A2B"/>
    <w:rsid w:val="006257C2"/>
    <w:rsid w:val="0063236B"/>
    <w:rsid w:val="00633E61"/>
    <w:rsid w:val="00634FF7"/>
    <w:rsid w:val="00635068"/>
    <w:rsid w:val="00635267"/>
    <w:rsid w:val="006373AF"/>
    <w:rsid w:val="00643A88"/>
    <w:rsid w:val="0064480E"/>
    <w:rsid w:val="0064666B"/>
    <w:rsid w:val="00646D14"/>
    <w:rsid w:val="006511C3"/>
    <w:rsid w:val="006546FF"/>
    <w:rsid w:val="006579EA"/>
    <w:rsid w:val="0066171A"/>
    <w:rsid w:val="00664C43"/>
    <w:rsid w:val="00664F78"/>
    <w:rsid w:val="006656DB"/>
    <w:rsid w:val="00665FF6"/>
    <w:rsid w:val="006672D6"/>
    <w:rsid w:val="00670D4B"/>
    <w:rsid w:val="006730B7"/>
    <w:rsid w:val="00673892"/>
    <w:rsid w:val="00676178"/>
    <w:rsid w:val="00677679"/>
    <w:rsid w:val="00677971"/>
    <w:rsid w:val="0068025F"/>
    <w:rsid w:val="00684719"/>
    <w:rsid w:val="00684BDA"/>
    <w:rsid w:val="00685E1F"/>
    <w:rsid w:val="00690FF9"/>
    <w:rsid w:val="006922D9"/>
    <w:rsid w:val="006926CC"/>
    <w:rsid w:val="00692F03"/>
    <w:rsid w:val="00697B2C"/>
    <w:rsid w:val="006A1628"/>
    <w:rsid w:val="006A17B3"/>
    <w:rsid w:val="006A7C17"/>
    <w:rsid w:val="006B56E5"/>
    <w:rsid w:val="006C0701"/>
    <w:rsid w:val="006C140F"/>
    <w:rsid w:val="006C1ABB"/>
    <w:rsid w:val="006C7E7D"/>
    <w:rsid w:val="006D1804"/>
    <w:rsid w:val="006D4B81"/>
    <w:rsid w:val="006D5C8A"/>
    <w:rsid w:val="006D7633"/>
    <w:rsid w:val="006E21FA"/>
    <w:rsid w:val="006E29D2"/>
    <w:rsid w:val="006E3053"/>
    <w:rsid w:val="006F49EA"/>
    <w:rsid w:val="006F5CFC"/>
    <w:rsid w:val="007011F5"/>
    <w:rsid w:val="00701A20"/>
    <w:rsid w:val="00705591"/>
    <w:rsid w:val="0071032B"/>
    <w:rsid w:val="00710758"/>
    <w:rsid w:val="0071422B"/>
    <w:rsid w:val="007155D6"/>
    <w:rsid w:val="00715F65"/>
    <w:rsid w:val="007173EC"/>
    <w:rsid w:val="0071746B"/>
    <w:rsid w:val="0072117E"/>
    <w:rsid w:val="00721E8F"/>
    <w:rsid w:val="00724D06"/>
    <w:rsid w:val="00725203"/>
    <w:rsid w:val="00727AB2"/>
    <w:rsid w:val="007310BD"/>
    <w:rsid w:val="007323DA"/>
    <w:rsid w:val="00733B2A"/>
    <w:rsid w:val="00735E64"/>
    <w:rsid w:val="007364FC"/>
    <w:rsid w:val="007406CB"/>
    <w:rsid w:val="00741974"/>
    <w:rsid w:val="007524B2"/>
    <w:rsid w:val="00755834"/>
    <w:rsid w:val="007568B0"/>
    <w:rsid w:val="0076101B"/>
    <w:rsid w:val="00762FE8"/>
    <w:rsid w:val="00763973"/>
    <w:rsid w:val="00765BD0"/>
    <w:rsid w:val="0077187A"/>
    <w:rsid w:val="00773281"/>
    <w:rsid w:val="00776688"/>
    <w:rsid w:val="00777810"/>
    <w:rsid w:val="0078131D"/>
    <w:rsid w:val="007859D4"/>
    <w:rsid w:val="00785C8B"/>
    <w:rsid w:val="00786976"/>
    <w:rsid w:val="0078734B"/>
    <w:rsid w:val="007973F1"/>
    <w:rsid w:val="00797D61"/>
    <w:rsid w:val="007A423F"/>
    <w:rsid w:val="007A5C6F"/>
    <w:rsid w:val="007A6B68"/>
    <w:rsid w:val="007A7200"/>
    <w:rsid w:val="007B2F22"/>
    <w:rsid w:val="007B3260"/>
    <w:rsid w:val="007B3DDD"/>
    <w:rsid w:val="007B3FB3"/>
    <w:rsid w:val="007B4E4F"/>
    <w:rsid w:val="007C0DC5"/>
    <w:rsid w:val="007C280B"/>
    <w:rsid w:val="007C537B"/>
    <w:rsid w:val="007C5C8F"/>
    <w:rsid w:val="007C5F49"/>
    <w:rsid w:val="007D16AD"/>
    <w:rsid w:val="007E082B"/>
    <w:rsid w:val="007E0EE4"/>
    <w:rsid w:val="007E13AE"/>
    <w:rsid w:val="007E3A3F"/>
    <w:rsid w:val="007E502F"/>
    <w:rsid w:val="007E5053"/>
    <w:rsid w:val="007F2424"/>
    <w:rsid w:val="007F327F"/>
    <w:rsid w:val="007F3393"/>
    <w:rsid w:val="007F5637"/>
    <w:rsid w:val="007F5B6E"/>
    <w:rsid w:val="0080172C"/>
    <w:rsid w:val="00801F05"/>
    <w:rsid w:val="00803804"/>
    <w:rsid w:val="00803D08"/>
    <w:rsid w:val="00804568"/>
    <w:rsid w:val="00812694"/>
    <w:rsid w:val="00813380"/>
    <w:rsid w:val="008139C5"/>
    <w:rsid w:val="0081471E"/>
    <w:rsid w:val="00820484"/>
    <w:rsid w:val="008259BE"/>
    <w:rsid w:val="00826824"/>
    <w:rsid w:val="008333F1"/>
    <w:rsid w:val="008362CF"/>
    <w:rsid w:val="00837ABB"/>
    <w:rsid w:val="00842221"/>
    <w:rsid w:val="00843314"/>
    <w:rsid w:val="008624FD"/>
    <w:rsid w:val="00863E6A"/>
    <w:rsid w:val="0086414E"/>
    <w:rsid w:val="00864B56"/>
    <w:rsid w:val="00865C4C"/>
    <w:rsid w:val="00867044"/>
    <w:rsid w:val="008718F4"/>
    <w:rsid w:val="00875341"/>
    <w:rsid w:val="0087675D"/>
    <w:rsid w:val="0088004A"/>
    <w:rsid w:val="008915E6"/>
    <w:rsid w:val="00893593"/>
    <w:rsid w:val="00893DAA"/>
    <w:rsid w:val="00894892"/>
    <w:rsid w:val="00895169"/>
    <w:rsid w:val="008A7EDB"/>
    <w:rsid w:val="008A7F71"/>
    <w:rsid w:val="008B2813"/>
    <w:rsid w:val="008B56B6"/>
    <w:rsid w:val="008B66F3"/>
    <w:rsid w:val="008C25BC"/>
    <w:rsid w:val="008C398D"/>
    <w:rsid w:val="008D0254"/>
    <w:rsid w:val="008D361B"/>
    <w:rsid w:val="008D3DBE"/>
    <w:rsid w:val="008D4700"/>
    <w:rsid w:val="008E0393"/>
    <w:rsid w:val="008E70B7"/>
    <w:rsid w:val="008F2B5E"/>
    <w:rsid w:val="0090025E"/>
    <w:rsid w:val="00900429"/>
    <w:rsid w:val="00900526"/>
    <w:rsid w:val="00901556"/>
    <w:rsid w:val="0090181E"/>
    <w:rsid w:val="009040F0"/>
    <w:rsid w:val="00905EEA"/>
    <w:rsid w:val="0090745D"/>
    <w:rsid w:val="00912D00"/>
    <w:rsid w:val="00917048"/>
    <w:rsid w:val="0092015A"/>
    <w:rsid w:val="009234B2"/>
    <w:rsid w:val="0092624F"/>
    <w:rsid w:val="00933CD3"/>
    <w:rsid w:val="009347CD"/>
    <w:rsid w:val="0093489F"/>
    <w:rsid w:val="0093575F"/>
    <w:rsid w:val="00937FC5"/>
    <w:rsid w:val="00940B0C"/>
    <w:rsid w:val="0094359E"/>
    <w:rsid w:val="0094377D"/>
    <w:rsid w:val="00943B2B"/>
    <w:rsid w:val="00944B5F"/>
    <w:rsid w:val="00944C71"/>
    <w:rsid w:val="00951B1F"/>
    <w:rsid w:val="009538E1"/>
    <w:rsid w:val="009546B2"/>
    <w:rsid w:val="00956212"/>
    <w:rsid w:val="00956B25"/>
    <w:rsid w:val="009604C8"/>
    <w:rsid w:val="00964A0F"/>
    <w:rsid w:val="00965DEE"/>
    <w:rsid w:val="00966A0F"/>
    <w:rsid w:val="0097273A"/>
    <w:rsid w:val="009810AC"/>
    <w:rsid w:val="00986332"/>
    <w:rsid w:val="00987BA2"/>
    <w:rsid w:val="00993D74"/>
    <w:rsid w:val="0099470C"/>
    <w:rsid w:val="00995737"/>
    <w:rsid w:val="00996DB4"/>
    <w:rsid w:val="00997854"/>
    <w:rsid w:val="009A0589"/>
    <w:rsid w:val="009A2668"/>
    <w:rsid w:val="009A53EB"/>
    <w:rsid w:val="009A6F88"/>
    <w:rsid w:val="009B5956"/>
    <w:rsid w:val="009C03D6"/>
    <w:rsid w:val="009C455D"/>
    <w:rsid w:val="009C4570"/>
    <w:rsid w:val="009D3D81"/>
    <w:rsid w:val="009D52A3"/>
    <w:rsid w:val="009D749C"/>
    <w:rsid w:val="009E0448"/>
    <w:rsid w:val="009E4877"/>
    <w:rsid w:val="009E4F4F"/>
    <w:rsid w:val="009E518E"/>
    <w:rsid w:val="009F151D"/>
    <w:rsid w:val="009F2D2B"/>
    <w:rsid w:val="009F3378"/>
    <w:rsid w:val="009F5E1A"/>
    <w:rsid w:val="00A0030F"/>
    <w:rsid w:val="00A050CD"/>
    <w:rsid w:val="00A05AB2"/>
    <w:rsid w:val="00A0709C"/>
    <w:rsid w:val="00A119A6"/>
    <w:rsid w:val="00A128E9"/>
    <w:rsid w:val="00A14A96"/>
    <w:rsid w:val="00A16CC1"/>
    <w:rsid w:val="00A20845"/>
    <w:rsid w:val="00A20FCA"/>
    <w:rsid w:val="00A24CDC"/>
    <w:rsid w:val="00A27F7C"/>
    <w:rsid w:val="00A33B37"/>
    <w:rsid w:val="00A33C7C"/>
    <w:rsid w:val="00A3468C"/>
    <w:rsid w:val="00A40355"/>
    <w:rsid w:val="00A4099F"/>
    <w:rsid w:val="00A46C50"/>
    <w:rsid w:val="00A50A18"/>
    <w:rsid w:val="00A51A75"/>
    <w:rsid w:val="00A52C67"/>
    <w:rsid w:val="00A549D8"/>
    <w:rsid w:val="00A60639"/>
    <w:rsid w:val="00A619EE"/>
    <w:rsid w:val="00A61DE2"/>
    <w:rsid w:val="00A62E32"/>
    <w:rsid w:val="00A63C9C"/>
    <w:rsid w:val="00A640F6"/>
    <w:rsid w:val="00A64FAC"/>
    <w:rsid w:val="00A7382C"/>
    <w:rsid w:val="00A776A4"/>
    <w:rsid w:val="00A802CC"/>
    <w:rsid w:val="00A81F05"/>
    <w:rsid w:val="00A85818"/>
    <w:rsid w:val="00A85F69"/>
    <w:rsid w:val="00A86F3B"/>
    <w:rsid w:val="00A87050"/>
    <w:rsid w:val="00A9279B"/>
    <w:rsid w:val="00A929EE"/>
    <w:rsid w:val="00A95D6D"/>
    <w:rsid w:val="00AA153E"/>
    <w:rsid w:val="00AA2019"/>
    <w:rsid w:val="00AA2765"/>
    <w:rsid w:val="00AA2D97"/>
    <w:rsid w:val="00AA697D"/>
    <w:rsid w:val="00AA6D9E"/>
    <w:rsid w:val="00AB5BF1"/>
    <w:rsid w:val="00AB6609"/>
    <w:rsid w:val="00AC1004"/>
    <w:rsid w:val="00AC4B6C"/>
    <w:rsid w:val="00AC5E13"/>
    <w:rsid w:val="00AD06A1"/>
    <w:rsid w:val="00AD1D39"/>
    <w:rsid w:val="00AD405D"/>
    <w:rsid w:val="00AD7690"/>
    <w:rsid w:val="00AE251A"/>
    <w:rsid w:val="00AE2575"/>
    <w:rsid w:val="00AE33BB"/>
    <w:rsid w:val="00AE3F27"/>
    <w:rsid w:val="00AE40BB"/>
    <w:rsid w:val="00AE5F23"/>
    <w:rsid w:val="00AE6A98"/>
    <w:rsid w:val="00AF1EE2"/>
    <w:rsid w:val="00AF4812"/>
    <w:rsid w:val="00AF6B27"/>
    <w:rsid w:val="00B0320E"/>
    <w:rsid w:val="00B03D4C"/>
    <w:rsid w:val="00B04381"/>
    <w:rsid w:val="00B21532"/>
    <w:rsid w:val="00B2266F"/>
    <w:rsid w:val="00B2656C"/>
    <w:rsid w:val="00B26D7D"/>
    <w:rsid w:val="00B2767E"/>
    <w:rsid w:val="00B301E9"/>
    <w:rsid w:val="00B3041C"/>
    <w:rsid w:val="00B30AD9"/>
    <w:rsid w:val="00B31671"/>
    <w:rsid w:val="00B3379F"/>
    <w:rsid w:val="00B362FD"/>
    <w:rsid w:val="00B37527"/>
    <w:rsid w:val="00B40B20"/>
    <w:rsid w:val="00B446B6"/>
    <w:rsid w:val="00B50C47"/>
    <w:rsid w:val="00B52AD4"/>
    <w:rsid w:val="00B53775"/>
    <w:rsid w:val="00B6123E"/>
    <w:rsid w:val="00B6156E"/>
    <w:rsid w:val="00B6464E"/>
    <w:rsid w:val="00B70997"/>
    <w:rsid w:val="00B723B6"/>
    <w:rsid w:val="00B73C4F"/>
    <w:rsid w:val="00B81746"/>
    <w:rsid w:val="00B81BC2"/>
    <w:rsid w:val="00B82A72"/>
    <w:rsid w:val="00B82E61"/>
    <w:rsid w:val="00B84C3F"/>
    <w:rsid w:val="00B903E4"/>
    <w:rsid w:val="00B96419"/>
    <w:rsid w:val="00B96C2C"/>
    <w:rsid w:val="00B96E62"/>
    <w:rsid w:val="00B96EBC"/>
    <w:rsid w:val="00B96F44"/>
    <w:rsid w:val="00BB7777"/>
    <w:rsid w:val="00BC0863"/>
    <w:rsid w:val="00BC2493"/>
    <w:rsid w:val="00BC2EAA"/>
    <w:rsid w:val="00BC33EA"/>
    <w:rsid w:val="00BC4868"/>
    <w:rsid w:val="00BD1311"/>
    <w:rsid w:val="00BD189C"/>
    <w:rsid w:val="00BE06D5"/>
    <w:rsid w:val="00BE2D10"/>
    <w:rsid w:val="00BE683F"/>
    <w:rsid w:val="00BF13A2"/>
    <w:rsid w:val="00BF471E"/>
    <w:rsid w:val="00C00006"/>
    <w:rsid w:val="00C06C14"/>
    <w:rsid w:val="00C14225"/>
    <w:rsid w:val="00C21336"/>
    <w:rsid w:val="00C21BDF"/>
    <w:rsid w:val="00C22902"/>
    <w:rsid w:val="00C23CE1"/>
    <w:rsid w:val="00C30EFC"/>
    <w:rsid w:val="00C32F52"/>
    <w:rsid w:val="00C37AAC"/>
    <w:rsid w:val="00C41C88"/>
    <w:rsid w:val="00C45841"/>
    <w:rsid w:val="00C471BB"/>
    <w:rsid w:val="00C51192"/>
    <w:rsid w:val="00C546D8"/>
    <w:rsid w:val="00C60F6C"/>
    <w:rsid w:val="00C646B9"/>
    <w:rsid w:val="00C65EB2"/>
    <w:rsid w:val="00C70F71"/>
    <w:rsid w:val="00C712C5"/>
    <w:rsid w:val="00C7449A"/>
    <w:rsid w:val="00C76E84"/>
    <w:rsid w:val="00C771F3"/>
    <w:rsid w:val="00C77B72"/>
    <w:rsid w:val="00C82857"/>
    <w:rsid w:val="00C91A9C"/>
    <w:rsid w:val="00C950B9"/>
    <w:rsid w:val="00CB05FD"/>
    <w:rsid w:val="00CB06EB"/>
    <w:rsid w:val="00CB184A"/>
    <w:rsid w:val="00CB2584"/>
    <w:rsid w:val="00CB5A44"/>
    <w:rsid w:val="00CB6573"/>
    <w:rsid w:val="00CB6B71"/>
    <w:rsid w:val="00CC3D5D"/>
    <w:rsid w:val="00CC6B04"/>
    <w:rsid w:val="00CC7F48"/>
    <w:rsid w:val="00CD216E"/>
    <w:rsid w:val="00CD25B6"/>
    <w:rsid w:val="00CD2D80"/>
    <w:rsid w:val="00CD343F"/>
    <w:rsid w:val="00CD3A5F"/>
    <w:rsid w:val="00CD44E0"/>
    <w:rsid w:val="00CD7B40"/>
    <w:rsid w:val="00CD7EAE"/>
    <w:rsid w:val="00CE13FD"/>
    <w:rsid w:val="00CE4EEA"/>
    <w:rsid w:val="00CE72EB"/>
    <w:rsid w:val="00CE79E7"/>
    <w:rsid w:val="00CF2FA8"/>
    <w:rsid w:val="00CF3ED2"/>
    <w:rsid w:val="00CF5A8F"/>
    <w:rsid w:val="00CF7EDD"/>
    <w:rsid w:val="00D01B55"/>
    <w:rsid w:val="00D02E43"/>
    <w:rsid w:val="00D03CEA"/>
    <w:rsid w:val="00D12CBE"/>
    <w:rsid w:val="00D134B1"/>
    <w:rsid w:val="00D161F2"/>
    <w:rsid w:val="00D16EB7"/>
    <w:rsid w:val="00D179A0"/>
    <w:rsid w:val="00D223E5"/>
    <w:rsid w:val="00D24079"/>
    <w:rsid w:val="00D24C70"/>
    <w:rsid w:val="00D255D9"/>
    <w:rsid w:val="00D25C0E"/>
    <w:rsid w:val="00D33499"/>
    <w:rsid w:val="00D357DF"/>
    <w:rsid w:val="00D36B96"/>
    <w:rsid w:val="00D36FA5"/>
    <w:rsid w:val="00D3711A"/>
    <w:rsid w:val="00D37126"/>
    <w:rsid w:val="00D3797E"/>
    <w:rsid w:val="00D37EB1"/>
    <w:rsid w:val="00D40271"/>
    <w:rsid w:val="00D41739"/>
    <w:rsid w:val="00D41937"/>
    <w:rsid w:val="00D4526C"/>
    <w:rsid w:val="00D464E4"/>
    <w:rsid w:val="00D47BA7"/>
    <w:rsid w:val="00D511B4"/>
    <w:rsid w:val="00D61D8E"/>
    <w:rsid w:val="00D62345"/>
    <w:rsid w:val="00D6650E"/>
    <w:rsid w:val="00D6738C"/>
    <w:rsid w:val="00D7267A"/>
    <w:rsid w:val="00D730EF"/>
    <w:rsid w:val="00D734A9"/>
    <w:rsid w:val="00D74266"/>
    <w:rsid w:val="00D81414"/>
    <w:rsid w:val="00D820E6"/>
    <w:rsid w:val="00D845E0"/>
    <w:rsid w:val="00D84D97"/>
    <w:rsid w:val="00D91044"/>
    <w:rsid w:val="00D910B8"/>
    <w:rsid w:val="00D91B3D"/>
    <w:rsid w:val="00D91EE3"/>
    <w:rsid w:val="00D92C50"/>
    <w:rsid w:val="00D9396B"/>
    <w:rsid w:val="00D953E6"/>
    <w:rsid w:val="00D96754"/>
    <w:rsid w:val="00D977BF"/>
    <w:rsid w:val="00D97FA2"/>
    <w:rsid w:val="00DA1EC1"/>
    <w:rsid w:val="00DA54C1"/>
    <w:rsid w:val="00DA59AE"/>
    <w:rsid w:val="00DB62B7"/>
    <w:rsid w:val="00DB7704"/>
    <w:rsid w:val="00DC0197"/>
    <w:rsid w:val="00DC0B23"/>
    <w:rsid w:val="00DC0B8A"/>
    <w:rsid w:val="00DC2540"/>
    <w:rsid w:val="00DC2806"/>
    <w:rsid w:val="00DC4950"/>
    <w:rsid w:val="00DC6382"/>
    <w:rsid w:val="00DC65E0"/>
    <w:rsid w:val="00DD0EB9"/>
    <w:rsid w:val="00DD22BD"/>
    <w:rsid w:val="00DD33FE"/>
    <w:rsid w:val="00DD33FF"/>
    <w:rsid w:val="00DD55E4"/>
    <w:rsid w:val="00DE0FBE"/>
    <w:rsid w:val="00DE4CEE"/>
    <w:rsid w:val="00DF151B"/>
    <w:rsid w:val="00DF202B"/>
    <w:rsid w:val="00DF368E"/>
    <w:rsid w:val="00DF4102"/>
    <w:rsid w:val="00DF5B69"/>
    <w:rsid w:val="00E014C5"/>
    <w:rsid w:val="00E058B1"/>
    <w:rsid w:val="00E11907"/>
    <w:rsid w:val="00E14384"/>
    <w:rsid w:val="00E146EB"/>
    <w:rsid w:val="00E200D4"/>
    <w:rsid w:val="00E20E63"/>
    <w:rsid w:val="00E233AE"/>
    <w:rsid w:val="00E277D7"/>
    <w:rsid w:val="00E312EF"/>
    <w:rsid w:val="00E33D22"/>
    <w:rsid w:val="00E35ED2"/>
    <w:rsid w:val="00E36826"/>
    <w:rsid w:val="00E420CB"/>
    <w:rsid w:val="00E44C23"/>
    <w:rsid w:val="00E46594"/>
    <w:rsid w:val="00E54411"/>
    <w:rsid w:val="00E5501E"/>
    <w:rsid w:val="00E57938"/>
    <w:rsid w:val="00E60DDF"/>
    <w:rsid w:val="00E62279"/>
    <w:rsid w:val="00E64046"/>
    <w:rsid w:val="00E65000"/>
    <w:rsid w:val="00E70297"/>
    <w:rsid w:val="00E71CFC"/>
    <w:rsid w:val="00E72C11"/>
    <w:rsid w:val="00E77787"/>
    <w:rsid w:val="00E77838"/>
    <w:rsid w:val="00E808E8"/>
    <w:rsid w:val="00E819B6"/>
    <w:rsid w:val="00E82B9B"/>
    <w:rsid w:val="00E85786"/>
    <w:rsid w:val="00E90491"/>
    <w:rsid w:val="00E931BC"/>
    <w:rsid w:val="00E93B2E"/>
    <w:rsid w:val="00E95FA9"/>
    <w:rsid w:val="00EA3107"/>
    <w:rsid w:val="00EB083E"/>
    <w:rsid w:val="00EB0A66"/>
    <w:rsid w:val="00EB117C"/>
    <w:rsid w:val="00EB33F0"/>
    <w:rsid w:val="00EB352A"/>
    <w:rsid w:val="00EB3A2E"/>
    <w:rsid w:val="00EB4646"/>
    <w:rsid w:val="00EB56CD"/>
    <w:rsid w:val="00EC1BC5"/>
    <w:rsid w:val="00EC3D8B"/>
    <w:rsid w:val="00EC42D8"/>
    <w:rsid w:val="00EC6A18"/>
    <w:rsid w:val="00EC704B"/>
    <w:rsid w:val="00ED2082"/>
    <w:rsid w:val="00ED5152"/>
    <w:rsid w:val="00ED781C"/>
    <w:rsid w:val="00ED7964"/>
    <w:rsid w:val="00EE0D2D"/>
    <w:rsid w:val="00EE0F2F"/>
    <w:rsid w:val="00EE301C"/>
    <w:rsid w:val="00EE5A35"/>
    <w:rsid w:val="00EE6EC4"/>
    <w:rsid w:val="00EE7AED"/>
    <w:rsid w:val="00EF2C4D"/>
    <w:rsid w:val="00F00DA3"/>
    <w:rsid w:val="00F03931"/>
    <w:rsid w:val="00F125F8"/>
    <w:rsid w:val="00F1379D"/>
    <w:rsid w:val="00F15827"/>
    <w:rsid w:val="00F163B1"/>
    <w:rsid w:val="00F16A6A"/>
    <w:rsid w:val="00F178FF"/>
    <w:rsid w:val="00F17D00"/>
    <w:rsid w:val="00F20FD7"/>
    <w:rsid w:val="00F22623"/>
    <w:rsid w:val="00F23060"/>
    <w:rsid w:val="00F2321E"/>
    <w:rsid w:val="00F24142"/>
    <w:rsid w:val="00F24891"/>
    <w:rsid w:val="00F2607B"/>
    <w:rsid w:val="00F314AA"/>
    <w:rsid w:val="00F320E3"/>
    <w:rsid w:val="00F3226B"/>
    <w:rsid w:val="00F41D5E"/>
    <w:rsid w:val="00F43497"/>
    <w:rsid w:val="00F4436D"/>
    <w:rsid w:val="00F45C68"/>
    <w:rsid w:val="00F46224"/>
    <w:rsid w:val="00F506A2"/>
    <w:rsid w:val="00F53365"/>
    <w:rsid w:val="00F570BC"/>
    <w:rsid w:val="00F60BA1"/>
    <w:rsid w:val="00F60D10"/>
    <w:rsid w:val="00F62298"/>
    <w:rsid w:val="00F62D2C"/>
    <w:rsid w:val="00F636B2"/>
    <w:rsid w:val="00F6733D"/>
    <w:rsid w:val="00F70CA9"/>
    <w:rsid w:val="00F725E0"/>
    <w:rsid w:val="00F75C2C"/>
    <w:rsid w:val="00F802F4"/>
    <w:rsid w:val="00F80A0A"/>
    <w:rsid w:val="00F83260"/>
    <w:rsid w:val="00F83AF2"/>
    <w:rsid w:val="00F92289"/>
    <w:rsid w:val="00F97549"/>
    <w:rsid w:val="00FA042B"/>
    <w:rsid w:val="00FA2DA7"/>
    <w:rsid w:val="00FA7394"/>
    <w:rsid w:val="00FB07C5"/>
    <w:rsid w:val="00FB134B"/>
    <w:rsid w:val="00FB2A52"/>
    <w:rsid w:val="00FB3FFE"/>
    <w:rsid w:val="00FB6CB2"/>
    <w:rsid w:val="00FC0EF9"/>
    <w:rsid w:val="00FC124D"/>
    <w:rsid w:val="00FC1C32"/>
    <w:rsid w:val="00FC20B8"/>
    <w:rsid w:val="00FC2B37"/>
    <w:rsid w:val="00FC364B"/>
    <w:rsid w:val="00FC737B"/>
    <w:rsid w:val="00FC7582"/>
    <w:rsid w:val="00FD06CC"/>
    <w:rsid w:val="00FD40E0"/>
    <w:rsid w:val="00FD4768"/>
    <w:rsid w:val="00FD4BDA"/>
    <w:rsid w:val="00FD6858"/>
    <w:rsid w:val="00FD7C31"/>
    <w:rsid w:val="00FE09A2"/>
    <w:rsid w:val="00FE16C3"/>
    <w:rsid w:val="00FE5712"/>
    <w:rsid w:val="00FE6188"/>
    <w:rsid w:val="00FE65D1"/>
    <w:rsid w:val="00FF0E34"/>
    <w:rsid w:val="00FF5C5D"/>
    <w:rsid w:val="00FF6F9C"/>
    <w:rsid w:val="00FF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2CBB688F"/>
  <w15:docId w15:val="{E3E6A363-E2E1-49D8-82F1-7AC028F7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0B7"/>
    <w:pPr>
      <w:suppressAutoHyphens/>
      <w:spacing w:after="200" w:line="276" w:lineRule="auto"/>
      <w:jc w:val="both"/>
    </w:pPr>
    <w:rPr>
      <w:rFonts w:ascii="Calibri" w:eastAsia="SimSun" w:hAnsi="Calibri" w:cs="Calibri"/>
      <w:kern w:val="1"/>
      <w:lang w:val="en-GB" w:eastAsia="ar-SA"/>
    </w:rPr>
  </w:style>
  <w:style w:type="paragraph" w:styleId="Titlu1">
    <w:name w:val="heading 1"/>
    <w:basedOn w:val="Normal"/>
    <w:next w:val="Normal"/>
    <w:link w:val="Titlu1Caracter"/>
    <w:uiPriority w:val="9"/>
    <w:qFormat/>
    <w:rsid w:val="006730B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C32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5F2D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F570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730B7"/>
    <w:rPr>
      <w:rFonts w:asciiTheme="majorHAnsi" w:eastAsiaTheme="majorEastAsia" w:hAnsiTheme="majorHAnsi" w:cstheme="majorBidi"/>
      <w:b/>
      <w:bCs/>
      <w:color w:val="2E74B5" w:themeColor="accent1" w:themeShade="BF"/>
      <w:kern w:val="1"/>
      <w:sz w:val="28"/>
      <w:szCs w:val="28"/>
      <w:lang w:val="en-GB" w:eastAsia="ar-SA"/>
    </w:rPr>
  </w:style>
  <w:style w:type="paragraph" w:styleId="Listparagraf">
    <w:name w:val="List Paragraph"/>
    <w:aliases w:val="List Paragraph 1"/>
    <w:basedOn w:val="Normal"/>
    <w:uiPriority w:val="34"/>
    <w:qFormat/>
    <w:rsid w:val="006730B7"/>
    <w:pPr>
      <w:ind w:left="720"/>
      <w:contextualSpacing/>
    </w:pPr>
  </w:style>
  <w:style w:type="table" w:customStyle="1" w:styleId="MittlereSchattierung1-Akzent11">
    <w:name w:val="Mittlere Schattierung 1 - Akzent 11"/>
    <w:basedOn w:val="TabelNormal"/>
    <w:uiPriority w:val="63"/>
    <w:rsid w:val="006730B7"/>
    <w:pPr>
      <w:spacing w:after="0" w:line="240" w:lineRule="auto"/>
    </w:pPr>
    <w:rPr>
      <w:lang w:val="nl-N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extnotdesubsol">
    <w:name w:val="footnote text"/>
    <w:basedOn w:val="Normal"/>
    <w:link w:val="TextnotdesubsolCaracter"/>
    <w:uiPriority w:val="99"/>
    <w:unhideWhenUsed/>
    <w:rsid w:val="006730B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6730B7"/>
    <w:rPr>
      <w:rFonts w:ascii="Calibri" w:eastAsia="SimSun" w:hAnsi="Calibri" w:cs="Calibri"/>
      <w:kern w:val="1"/>
      <w:sz w:val="20"/>
      <w:szCs w:val="20"/>
      <w:lang w:val="en-GB" w:eastAsia="ar-SA"/>
    </w:rPr>
  </w:style>
  <w:style w:type="character" w:styleId="Referinnotdesubsol">
    <w:name w:val="footnote reference"/>
    <w:basedOn w:val="Fontdeparagrafimplicit"/>
    <w:uiPriority w:val="99"/>
    <w:unhideWhenUsed/>
    <w:rsid w:val="006730B7"/>
    <w:rPr>
      <w:vertAlign w:val="superscript"/>
    </w:rPr>
  </w:style>
  <w:style w:type="paragraph" w:styleId="Legend">
    <w:name w:val="caption"/>
    <w:basedOn w:val="Normal"/>
    <w:next w:val="Normal"/>
    <w:uiPriority w:val="35"/>
    <w:unhideWhenUsed/>
    <w:qFormat/>
    <w:rsid w:val="006730B7"/>
    <w:pPr>
      <w:spacing w:line="240" w:lineRule="auto"/>
    </w:pPr>
    <w:rPr>
      <w:b/>
      <w:bCs/>
      <w:color w:val="5B9BD5" w:themeColor="accent1"/>
      <w:sz w:val="18"/>
      <w:szCs w:val="18"/>
    </w:rPr>
  </w:style>
  <w:style w:type="character" w:customStyle="1" w:styleId="Voetnoottekens">
    <w:name w:val="Voetnoottekens"/>
    <w:rsid w:val="006730B7"/>
  </w:style>
  <w:style w:type="character" w:styleId="Referincomentariu">
    <w:name w:val="annotation reference"/>
    <w:basedOn w:val="Fontdeparagrafimplicit"/>
    <w:uiPriority w:val="99"/>
    <w:unhideWhenUsed/>
    <w:rsid w:val="006730B7"/>
    <w:rPr>
      <w:sz w:val="16"/>
      <w:szCs w:val="16"/>
    </w:rPr>
  </w:style>
  <w:style w:type="paragraph" w:styleId="Textcomentariu">
    <w:name w:val="annotation text"/>
    <w:basedOn w:val="Normal"/>
    <w:link w:val="TextcomentariuCaracter"/>
    <w:uiPriority w:val="99"/>
    <w:unhideWhenUsed/>
    <w:rsid w:val="006730B7"/>
    <w:pPr>
      <w:spacing w:line="240" w:lineRule="auto"/>
    </w:pPr>
    <w:rPr>
      <w:sz w:val="20"/>
      <w:szCs w:val="20"/>
    </w:rPr>
  </w:style>
  <w:style w:type="character" w:customStyle="1" w:styleId="TextcomentariuCaracter">
    <w:name w:val="Text comentariu Caracter"/>
    <w:basedOn w:val="Fontdeparagrafimplicit"/>
    <w:link w:val="Textcomentariu"/>
    <w:uiPriority w:val="99"/>
    <w:rsid w:val="006730B7"/>
    <w:rPr>
      <w:rFonts w:ascii="Calibri" w:eastAsia="SimSun" w:hAnsi="Calibri" w:cs="Calibri"/>
      <w:kern w:val="1"/>
      <w:sz w:val="20"/>
      <w:szCs w:val="20"/>
      <w:lang w:val="en-GB" w:eastAsia="ar-SA"/>
    </w:rPr>
  </w:style>
  <w:style w:type="paragraph" w:styleId="Corptext">
    <w:name w:val="Body Text"/>
    <w:basedOn w:val="Normal"/>
    <w:link w:val="CorptextCaracter"/>
    <w:rsid w:val="006730B7"/>
    <w:pPr>
      <w:suppressAutoHyphens w:val="0"/>
      <w:spacing w:after="120" w:line="260" w:lineRule="atLeast"/>
    </w:pPr>
    <w:rPr>
      <w:rFonts w:ascii="Verdana" w:eastAsia="Times New Roman" w:hAnsi="Verdana" w:cs="Times New Roman"/>
      <w:spacing w:val="6"/>
      <w:kern w:val="0"/>
      <w:sz w:val="17"/>
      <w:szCs w:val="18"/>
      <w:lang w:eastAsia="en-US"/>
    </w:rPr>
  </w:style>
  <w:style w:type="character" w:customStyle="1" w:styleId="CorptextCaracter">
    <w:name w:val="Corp text Caracter"/>
    <w:basedOn w:val="Fontdeparagrafimplicit"/>
    <w:link w:val="Corptext"/>
    <w:rsid w:val="006730B7"/>
    <w:rPr>
      <w:rFonts w:ascii="Verdana" w:eastAsia="Times New Roman" w:hAnsi="Verdana" w:cs="Times New Roman"/>
      <w:spacing w:val="6"/>
      <w:sz w:val="17"/>
      <w:szCs w:val="18"/>
      <w:lang w:val="en-GB"/>
    </w:rPr>
  </w:style>
  <w:style w:type="character" w:styleId="Hyperlink">
    <w:name w:val="Hyperlink"/>
    <w:uiPriority w:val="99"/>
    <w:rsid w:val="006730B7"/>
    <w:rPr>
      <w:color w:val="000080"/>
      <w:u w:val="single"/>
    </w:rPr>
  </w:style>
  <w:style w:type="paragraph" w:styleId="Cuprins1">
    <w:name w:val="toc 1"/>
    <w:basedOn w:val="Normal"/>
    <w:next w:val="Normal"/>
    <w:autoRedefine/>
    <w:uiPriority w:val="39"/>
    <w:rsid w:val="00FC364B"/>
    <w:pPr>
      <w:tabs>
        <w:tab w:val="right" w:leader="dot" w:pos="9350"/>
      </w:tabs>
      <w:spacing w:before="240"/>
    </w:pPr>
  </w:style>
  <w:style w:type="paragraph" w:styleId="Cuprins2">
    <w:name w:val="toc 2"/>
    <w:basedOn w:val="Normal"/>
    <w:next w:val="Normal"/>
    <w:autoRedefine/>
    <w:uiPriority w:val="39"/>
    <w:rsid w:val="006730B7"/>
    <w:pPr>
      <w:ind w:left="220"/>
    </w:pPr>
  </w:style>
  <w:style w:type="character" w:customStyle="1" w:styleId="st1">
    <w:name w:val="st1"/>
    <w:basedOn w:val="Fontdeparagrafimplicit"/>
    <w:rsid w:val="006730B7"/>
  </w:style>
  <w:style w:type="paragraph" w:styleId="Titlucuprins">
    <w:name w:val="TOC Heading"/>
    <w:basedOn w:val="Titlu1"/>
    <w:next w:val="Normal"/>
    <w:uiPriority w:val="39"/>
    <w:unhideWhenUsed/>
    <w:qFormat/>
    <w:rsid w:val="006730B7"/>
    <w:pPr>
      <w:suppressAutoHyphens w:val="0"/>
      <w:outlineLvl w:val="9"/>
    </w:pPr>
    <w:rPr>
      <w:kern w:val="0"/>
      <w:lang w:val="en-US" w:eastAsia="ja-JP"/>
    </w:rPr>
  </w:style>
  <w:style w:type="paragraph" w:styleId="Tabeldefiguri">
    <w:name w:val="table of figures"/>
    <w:basedOn w:val="Normal"/>
    <w:next w:val="Normal"/>
    <w:uiPriority w:val="99"/>
    <w:rsid w:val="006730B7"/>
    <w:pPr>
      <w:spacing w:after="0"/>
    </w:pPr>
  </w:style>
  <w:style w:type="paragraph" w:styleId="TextnBalon">
    <w:name w:val="Balloon Text"/>
    <w:basedOn w:val="Normal"/>
    <w:link w:val="TextnBalonCaracter"/>
    <w:uiPriority w:val="99"/>
    <w:semiHidden/>
    <w:unhideWhenUsed/>
    <w:rsid w:val="006730B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30B7"/>
    <w:rPr>
      <w:rFonts w:ascii="Segoe UI" w:eastAsia="SimSun" w:hAnsi="Segoe UI" w:cs="Segoe UI"/>
      <w:kern w:val="1"/>
      <w:sz w:val="18"/>
      <w:szCs w:val="18"/>
      <w:lang w:val="en-GB" w:eastAsia="ar-SA"/>
    </w:rPr>
  </w:style>
  <w:style w:type="character" w:customStyle="1" w:styleId="Titlu2Caracter">
    <w:name w:val="Titlu 2 Caracter"/>
    <w:basedOn w:val="Fontdeparagrafimplicit"/>
    <w:link w:val="Titlu2"/>
    <w:uiPriority w:val="9"/>
    <w:rsid w:val="00C32F52"/>
    <w:rPr>
      <w:rFonts w:asciiTheme="majorHAnsi" w:eastAsiaTheme="majorEastAsia" w:hAnsiTheme="majorHAnsi" w:cstheme="majorBidi"/>
      <w:color w:val="2E74B5" w:themeColor="accent1" w:themeShade="BF"/>
      <w:kern w:val="1"/>
      <w:sz w:val="26"/>
      <w:szCs w:val="26"/>
      <w:lang w:val="en-GB" w:eastAsia="ar-SA"/>
    </w:rPr>
  </w:style>
  <w:style w:type="paragraph" w:styleId="SubiectComentariu">
    <w:name w:val="annotation subject"/>
    <w:basedOn w:val="Textcomentariu"/>
    <w:next w:val="Textcomentariu"/>
    <w:link w:val="SubiectComentariuCaracter"/>
    <w:uiPriority w:val="99"/>
    <w:semiHidden/>
    <w:unhideWhenUsed/>
    <w:rsid w:val="00C32F52"/>
    <w:rPr>
      <w:b/>
      <w:bCs/>
    </w:rPr>
  </w:style>
  <w:style w:type="character" w:customStyle="1" w:styleId="SubiectComentariuCaracter">
    <w:name w:val="Subiect Comentariu Caracter"/>
    <w:basedOn w:val="TextcomentariuCaracter"/>
    <w:link w:val="SubiectComentariu"/>
    <w:uiPriority w:val="99"/>
    <w:semiHidden/>
    <w:rsid w:val="00C32F52"/>
    <w:rPr>
      <w:rFonts w:ascii="Calibri" w:eastAsia="SimSun" w:hAnsi="Calibri" w:cs="Calibri"/>
      <w:b/>
      <w:bCs/>
      <w:kern w:val="1"/>
      <w:sz w:val="20"/>
      <w:szCs w:val="20"/>
      <w:lang w:val="en-GB" w:eastAsia="ar-SA"/>
    </w:rPr>
  </w:style>
  <w:style w:type="character" w:styleId="Accentuareintens">
    <w:name w:val="Intense Emphasis"/>
    <w:basedOn w:val="Fontdeparagrafimplicit"/>
    <w:uiPriority w:val="21"/>
    <w:qFormat/>
    <w:rsid w:val="004E05EC"/>
    <w:rPr>
      <w:i/>
      <w:iCs/>
      <w:color w:val="5B9BD5" w:themeColor="accent1"/>
    </w:rPr>
  </w:style>
  <w:style w:type="table" w:styleId="Tabelgril">
    <w:name w:val="Table Grid"/>
    <w:basedOn w:val="TabelNormal"/>
    <w:uiPriority w:val="59"/>
    <w:rsid w:val="008D361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5F2D87"/>
    <w:rPr>
      <w:rFonts w:asciiTheme="majorHAnsi" w:eastAsiaTheme="majorEastAsia" w:hAnsiTheme="majorHAnsi" w:cstheme="majorBidi"/>
      <w:color w:val="1F4D78" w:themeColor="accent1" w:themeShade="7F"/>
      <w:kern w:val="1"/>
      <w:sz w:val="24"/>
      <w:szCs w:val="24"/>
      <w:lang w:val="en-GB" w:eastAsia="ar-SA"/>
    </w:rPr>
  </w:style>
  <w:style w:type="character" w:customStyle="1" w:styleId="Titlu4Caracter">
    <w:name w:val="Titlu 4 Caracter"/>
    <w:basedOn w:val="Fontdeparagrafimplicit"/>
    <w:link w:val="Titlu4"/>
    <w:uiPriority w:val="9"/>
    <w:rsid w:val="00F570BC"/>
    <w:rPr>
      <w:rFonts w:asciiTheme="majorHAnsi" w:eastAsiaTheme="majorEastAsia" w:hAnsiTheme="majorHAnsi" w:cstheme="majorBidi"/>
      <w:i/>
      <w:iCs/>
      <w:color w:val="2E74B5" w:themeColor="accent1" w:themeShade="BF"/>
      <w:kern w:val="1"/>
      <w:lang w:val="en-GB" w:eastAsia="ar-SA"/>
    </w:rPr>
  </w:style>
  <w:style w:type="character" w:styleId="Robust">
    <w:name w:val="Strong"/>
    <w:basedOn w:val="Fontdeparagrafimplicit"/>
    <w:uiPriority w:val="22"/>
    <w:qFormat/>
    <w:rsid w:val="00727AB2"/>
    <w:rPr>
      <w:b/>
      <w:bCs/>
    </w:rPr>
  </w:style>
  <w:style w:type="paragraph" w:styleId="Cuprins3">
    <w:name w:val="toc 3"/>
    <w:basedOn w:val="Normal"/>
    <w:next w:val="Normal"/>
    <w:autoRedefine/>
    <w:uiPriority w:val="39"/>
    <w:unhideWhenUsed/>
    <w:rsid w:val="00A20845"/>
    <w:pPr>
      <w:spacing w:after="100"/>
      <w:ind w:left="440"/>
    </w:pPr>
  </w:style>
  <w:style w:type="numbering" w:customStyle="1" w:styleId="NoList1">
    <w:name w:val="No List1"/>
    <w:next w:val="FrListare"/>
    <w:uiPriority w:val="99"/>
    <w:semiHidden/>
    <w:unhideWhenUsed/>
    <w:rsid w:val="00107020"/>
  </w:style>
  <w:style w:type="paragraph" w:styleId="Antet">
    <w:name w:val="header"/>
    <w:basedOn w:val="Normal"/>
    <w:link w:val="AntetCaracter"/>
    <w:uiPriority w:val="99"/>
    <w:unhideWhenUsed/>
    <w:rsid w:val="00107020"/>
    <w:pPr>
      <w:tabs>
        <w:tab w:val="center" w:pos="4680"/>
        <w:tab w:val="right" w:pos="9360"/>
      </w:tabs>
      <w:suppressAutoHyphens w:val="0"/>
      <w:spacing w:after="0" w:line="240" w:lineRule="auto"/>
      <w:jc w:val="left"/>
    </w:pPr>
    <w:rPr>
      <w:rFonts w:asciiTheme="minorHAnsi" w:eastAsiaTheme="minorHAnsi" w:hAnsiTheme="minorHAnsi" w:cstheme="minorBidi"/>
      <w:kern w:val="0"/>
      <w:lang w:val="en-US" w:eastAsia="en-US"/>
    </w:rPr>
  </w:style>
  <w:style w:type="character" w:customStyle="1" w:styleId="AntetCaracter">
    <w:name w:val="Antet Caracter"/>
    <w:basedOn w:val="Fontdeparagrafimplicit"/>
    <w:link w:val="Antet"/>
    <w:uiPriority w:val="99"/>
    <w:rsid w:val="00107020"/>
  </w:style>
  <w:style w:type="paragraph" w:styleId="Subsol">
    <w:name w:val="footer"/>
    <w:basedOn w:val="Normal"/>
    <w:link w:val="SubsolCaracter"/>
    <w:uiPriority w:val="99"/>
    <w:unhideWhenUsed/>
    <w:rsid w:val="00107020"/>
    <w:pPr>
      <w:tabs>
        <w:tab w:val="center" w:pos="4680"/>
        <w:tab w:val="right" w:pos="9360"/>
      </w:tabs>
      <w:suppressAutoHyphens w:val="0"/>
      <w:spacing w:after="0" w:line="240" w:lineRule="auto"/>
      <w:jc w:val="left"/>
    </w:pPr>
    <w:rPr>
      <w:rFonts w:asciiTheme="minorHAnsi" w:eastAsiaTheme="minorHAnsi" w:hAnsiTheme="minorHAnsi" w:cstheme="minorBidi"/>
      <w:kern w:val="0"/>
      <w:lang w:val="en-US" w:eastAsia="en-US"/>
    </w:rPr>
  </w:style>
  <w:style w:type="character" w:customStyle="1" w:styleId="SubsolCaracter">
    <w:name w:val="Subsol Caracter"/>
    <w:basedOn w:val="Fontdeparagrafimplicit"/>
    <w:link w:val="Subsol"/>
    <w:uiPriority w:val="99"/>
    <w:rsid w:val="00107020"/>
  </w:style>
  <w:style w:type="paragraph" w:styleId="Revizuire">
    <w:name w:val="Revision"/>
    <w:hidden/>
    <w:uiPriority w:val="99"/>
    <w:semiHidden/>
    <w:rsid w:val="00107020"/>
    <w:pPr>
      <w:spacing w:after="0" w:line="240" w:lineRule="auto"/>
    </w:pPr>
  </w:style>
  <w:style w:type="character" w:styleId="HyperlinkParcurs">
    <w:name w:val="FollowedHyperlink"/>
    <w:basedOn w:val="Fontdeparagrafimplicit"/>
    <w:uiPriority w:val="99"/>
    <w:semiHidden/>
    <w:unhideWhenUsed/>
    <w:rsid w:val="00107020"/>
    <w:rPr>
      <w:color w:val="954F72" w:themeColor="followedHyperlink"/>
      <w:u w:val="single"/>
    </w:rPr>
  </w:style>
  <w:style w:type="table" w:customStyle="1" w:styleId="TableGrid1">
    <w:name w:val="Table Grid1"/>
    <w:basedOn w:val="TabelNormal"/>
    <w:next w:val="Tabelgril"/>
    <w:uiPriority w:val="59"/>
    <w:rsid w:val="00705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2C4B28"/>
    <w:pPr>
      <w:suppressAutoHyphens w:val="0"/>
      <w:autoSpaceDE w:val="0"/>
      <w:autoSpaceDN w:val="0"/>
      <w:adjustRightInd w:val="0"/>
      <w:spacing w:after="0" w:line="211" w:lineRule="atLeast"/>
      <w:jc w:val="left"/>
    </w:pPr>
    <w:rPr>
      <w:rFonts w:ascii="BundesSerif Regular" w:eastAsiaTheme="minorHAnsi" w:hAnsi="BundesSerif Regular" w:cstheme="minorBidi"/>
      <w:kern w:val="0"/>
      <w:sz w:val="24"/>
      <w:szCs w:val="24"/>
      <w:lang w:val="en-US" w:eastAsia="en-US"/>
    </w:rPr>
  </w:style>
  <w:style w:type="paragraph" w:customStyle="1" w:styleId="Pa9">
    <w:name w:val="Pa9"/>
    <w:basedOn w:val="Normal"/>
    <w:next w:val="Normal"/>
    <w:uiPriority w:val="99"/>
    <w:rsid w:val="002C4B28"/>
    <w:pPr>
      <w:suppressAutoHyphens w:val="0"/>
      <w:autoSpaceDE w:val="0"/>
      <w:autoSpaceDN w:val="0"/>
      <w:adjustRightInd w:val="0"/>
      <w:spacing w:after="0" w:line="211" w:lineRule="atLeast"/>
      <w:jc w:val="left"/>
    </w:pPr>
    <w:rPr>
      <w:rFonts w:ascii="BundesSerif Regular" w:eastAsiaTheme="minorHAnsi" w:hAnsi="BundesSerif Regular" w:cstheme="minorBidi"/>
      <w:kern w:val="0"/>
      <w:sz w:val="24"/>
      <w:szCs w:val="24"/>
      <w:lang w:val="en-US" w:eastAsia="en-US"/>
    </w:rPr>
  </w:style>
  <w:style w:type="character" w:customStyle="1" w:styleId="A7">
    <w:name w:val="A7"/>
    <w:uiPriority w:val="99"/>
    <w:rsid w:val="002C4B28"/>
    <w:rPr>
      <w:rFonts w:ascii="Wingdings 3" w:hAnsi="Wingdings 3" w:cs="Wingdings 3"/>
      <w:color w:val="000000"/>
      <w:sz w:val="16"/>
      <w:szCs w:val="16"/>
    </w:rPr>
  </w:style>
  <w:style w:type="paragraph" w:customStyle="1" w:styleId="ColorfulList-Accent11">
    <w:name w:val="Colorful List - Accent 11"/>
    <w:basedOn w:val="Normal"/>
    <w:uiPriority w:val="99"/>
    <w:qFormat/>
    <w:rsid w:val="007F327F"/>
    <w:pPr>
      <w:suppressAutoHyphens w:val="0"/>
      <w:spacing w:after="100" w:line="360" w:lineRule="auto"/>
      <w:ind w:left="720"/>
      <w:contextualSpacing/>
      <w:jc w:val="left"/>
    </w:pPr>
    <w:rPr>
      <w:rFonts w:ascii="Times New Roman" w:hAnsi="Times New Roman" w:cs="Times New Roman"/>
      <w:kern w:val="0"/>
      <w:sz w:val="24"/>
      <w:szCs w:val="20"/>
      <w:lang w:val="en-US" w:eastAsia="en-US"/>
    </w:rPr>
  </w:style>
  <w:style w:type="table" w:customStyle="1" w:styleId="ListTable3-Accent51">
    <w:name w:val="List Table 3 - Accent 51"/>
    <w:basedOn w:val="TabelNormal"/>
    <w:uiPriority w:val="48"/>
    <w:rsid w:val="002F493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dTable5Dark-Accent51">
    <w:name w:val="Grid Table 5 Dark - Accent 51"/>
    <w:basedOn w:val="TabelNormal"/>
    <w:uiPriority w:val="50"/>
    <w:rsid w:val="002F49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Grid2">
    <w:name w:val="Table Grid2"/>
    <w:basedOn w:val="TabelNormal"/>
    <w:next w:val="Tabelgril"/>
    <w:uiPriority w:val="59"/>
    <w:rsid w:val="005D25E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5D8"/>
    <w:pPr>
      <w:autoSpaceDE w:val="0"/>
      <w:autoSpaceDN w:val="0"/>
      <w:adjustRightInd w:val="0"/>
      <w:spacing w:after="0" w:line="240" w:lineRule="auto"/>
    </w:pPr>
    <w:rPr>
      <w:rFonts w:ascii="FoundrySterling-Bold" w:hAnsi="FoundrySterling-Bold" w:cs="FoundrySterling-Bold"/>
      <w:color w:val="000000"/>
      <w:sz w:val="24"/>
      <w:szCs w:val="24"/>
    </w:rPr>
  </w:style>
  <w:style w:type="character" w:styleId="Accentuat">
    <w:name w:val="Emphasis"/>
    <w:basedOn w:val="Fontdeparagrafimplicit"/>
    <w:uiPriority w:val="20"/>
    <w:qFormat/>
    <w:rsid w:val="00956212"/>
    <w:rPr>
      <w:b/>
      <w:bCs/>
      <w:i w:val="0"/>
      <w:iCs w:val="0"/>
    </w:rPr>
  </w:style>
  <w:style w:type="character" w:customStyle="1" w:styleId="normal-h">
    <w:name w:val="normal-h"/>
    <w:basedOn w:val="Fontdeparagrafimplicit"/>
    <w:rsid w:val="00EB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9354">
      <w:bodyDiv w:val="1"/>
      <w:marLeft w:val="0"/>
      <w:marRight w:val="0"/>
      <w:marTop w:val="0"/>
      <w:marBottom w:val="0"/>
      <w:divBdr>
        <w:top w:val="none" w:sz="0" w:space="0" w:color="auto"/>
        <w:left w:val="none" w:sz="0" w:space="0" w:color="auto"/>
        <w:bottom w:val="none" w:sz="0" w:space="0" w:color="auto"/>
        <w:right w:val="none" w:sz="0" w:space="0" w:color="auto"/>
      </w:divBdr>
    </w:div>
    <w:div w:id="987369159">
      <w:bodyDiv w:val="1"/>
      <w:marLeft w:val="0"/>
      <w:marRight w:val="0"/>
      <w:marTop w:val="0"/>
      <w:marBottom w:val="0"/>
      <w:divBdr>
        <w:top w:val="none" w:sz="0" w:space="0" w:color="auto"/>
        <w:left w:val="none" w:sz="0" w:space="0" w:color="auto"/>
        <w:bottom w:val="none" w:sz="0" w:space="0" w:color="auto"/>
        <w:right w:val="none" w:sz="0" w:space="0" w:color="auto"/>
      </w:divBdr>
      <w:divsChild>
        <w:div w:id="1016540164">
          <w:marLeft w:val="0"/>
          <w:marRight w:val="0"/>
          <w:marTop w:val="0"/>
          <w:marBottom w:val="0"/>
          <w:divBdr>
            <w:top w:val="none" w:sz="0" w:space="0" w:color="auto"/>
            <w:left w:val="none" w:sz="0" w:space="0" w:color="auto"/>
            <w:bottom w:val="none" w:sz="0" w:space="0" w:color="auto"/>
            <w:right w:val="none" w:sz="0" w:space="0" w:color="auto"/>
          </w:divBdr>
          <w:divsChild>
            <w:div w:id="20002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3249">
      <w:bodyDiv w:val="1"/>
      <w:marLeft w:val="0"/>
      <w:marRight w:val="0"/>
      <w:marTop w:val="0"/>
      <w:marBottom w:val="0"/>
      <w:divBdr>
        <w:top w:val="none" w:sz="0" w:space="0" w:color="auto"/>
        <w:left w:val="none" w:sz="0" w:space="0" w:color="auto"/>
        <w:bottom w:val="none" w:sz="0" w:space="0" w:color="auto"/>
        <w:right w:val="none" w:sz="0" w:space="0" w:color="auto"/>
      </w:divBdr>
      <w:divsChild>
        <w:div w:id="1697460453">
          <w:marLeft w:val="0"/>
          <w:marRight w:val="0"/>
          <w:marTop w:val="45"/>
          <w:marBottom w:val="45"/>
          <w:divBdr>
            <w:top w:val="none" w:sz="0" w:space="0" w:color="auto"/>
            <w:left w:val="none" w:sz="0" w:space="0" w:color="auto"/>
            <w:bottom w:val="none" w:sz="0" w:space="0" w:color="auto"/>
            <w:right w:val="none" w:sz="0" w:space="0" w:color="auto"/>
          </w:divBdr>
          <w:divsChild>
            <w:div w:id="178469434">
              <w:marLeft w:val="0"/>
              <w:marRight w:val="0"/>
              <w:marTop w:val="0"/>
              <w:marBottom w:val="0"/>
              <w:divBdr>
                <w:top w:val="none" w:sz="0" w:space="0" w:color="auto"/>
                <w:left w:val="none" w:sz="0" w:space="0" w:color="auto"/>
                <w:bottom w:val="none" w:sz="0" w:space="0" w:color="auto"/>
                <w:right w:val="none" w:sz="0" w:space="0" w:color="auto"/>
              </w:divBdr>
              <w:divsChild>
                <w:div w:id="611597220">
                  <w:marLeft w:val="0"/>
                  <w:marRight w:val="0"/>
                  <w:marTop w:val="0"/>
                  <w:marBottom w:val="0"/>
                  <w:divBdr>
                    <w:top w:val="none" w:sz="0" w:space="0" w:color="auto"/>
                    <w:left w:val="none" w:sz="0" w:space="0" w:color="auto"/>
                    <w:bottom w:val="none" w:sz="0" w:space="0" w:color="auto"/>
                    <w:right w:val="none" w:sz="0" w:space="0" w:color="auto"/>
                  </w:divBdr>
                  <w:divsChild>
                    <w:div w:id="1769734892">
                      <w:marLeft w:val="0"/>
                      <w:marRight w:val="0"/>
                      <w:marTop w:val="0"/>
                      <w:marBottom w:val="0"/>
                      <w:divBdr>
                        <w:top w:val="none" w:sz="0" w:space="0" w:color="auto"/>
                        <w:left w:val="none" w:sz="0" w:space="0" w:color="auto"/>
                        <w:bottom w:val="none" w:sz="0" w:space="0" w:color="auto"/>
                        <w:right w:val="none" w:sz="0" w:space="0" w:color="auto"/>
                      </w:divBdr>
                      <w:divsChild>
                        <w:div w:id="1128012307">
                          <w:marLeft w:val="0"/>
                          <w:marRight w:val="0"/>
                          <w:marTop w:val="0"/>
                          <w:marBottom w:val="0"/>
                          <w:divBdr>
                            <w:top w:val="none" w:sz="0" w:space="0" w:color="auto"/>
                            <w:left w:val="none" w:sz="0" w:space="0" w:color="auto"/>
                            <w:bottom w:val="none" w:sz="0" w:space="0" w:color="auto"/>
                            <w:right w:val="none" w:sz="0" w:space="0" w:color="auto"/>
                          </w:divBdr>
                          <w:divsChild>
                            <w:div w:id="1916893201">
                              <w:marLeft w:val="0"/>
                              <w:marRight w:val="0"/>
                              <w:marTop w:val="0"/>
                              <w:marBottom w:val="300"/>
                              <w:divBdr>
                                <w:top w:val="none" w:sz="0" w:space="0" w:color="auto"/>
                                <w:left w:val="none" w:sz="0" w:space="0" w:color="auto"/>
                                <w:bottom w:val="none" w:sz="0" w:space="0" w:color="auto"/>
                                <w:right w:val="none" w:sz="0" w:space="0" w:color="auto"/>
                              </w:divBdr>
                              <w:divsChild>
                                <w:div w:id="129810382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0462-6CF6-4AF7-9ADC-2BD7A3CD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1733</Words>
  <Characters>9884</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Maastricht University</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AthenaDesktop</dc:creator>
  <cp:lastModifiedBy>LValcov</cp:lastModifiedBy>
  <cp:revision>2</cp:revision>
  <cp:lastPrinted>2015-07-02T06:30:00Z</cp:lastPrinted>
  <dcterms:created xsi:type="dcterms:W3CDTF">2015-07-10T15:38:00Z</dcterms:created>
  <dcterms:modified xsi:type="dcterms:W3CDTF">2015-07-10T15:38:00Z</dcterms:modified>
</cp:coreProperties>
</file>