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1503"/>
        <w:gridCol w:w="1308"/>
        <w:gridCol w:w="1321"/>
        <w:gridCol w:w="1525"/>
        <w:gridCol w:w="2676"/>
      </w:tblGrid>
      <w:tr w:rsidR="00CF329E" w:rsidTr="00826AA3">
        <w:trPr>
          <w:trHeight w:val="1696"/>
        </w:trPr>
        <w:tc>
          <w:tcPr>
            <w:tcW w:w="1684" w:type="dxa"/>
          </w:tcPr>
          <w:p w:rsidR="00CF329E" w:rsidRDefault="00CF329E">
            <w:r>
              <w:rPr>
                <w:noProof/>
              </w:rPr>
              <w:drawing>
                <wp:anchor distT="0" distB="0" distL="114300" distR="114300" simplePos="0" relativeHeight="251659264" behindDoc="1" locked="0" layoutInCell="1" allowOverlap="1">
                  <wp:simplePos x="0" y="0"/>
                  <wp:positionH relativeFrom="column">
                    <wp:posOffset>-167640</wp:posOffset>
                  </wp:positionH>
                  <wp:positionV relativeFrom="paragraph">
                    <wp:posOffset>0</wp:posOffset>
                  </wp:positionV>
                  <wp:extent cx="750608" cy="94041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ma.png"/>
                          <pic:cNvPicPr/>
                        </pic:nvPicPr>
                        <pic:blipFill>
                          <a:blip r:embed="rId5">
                            <a:extLst>
                              <a:ext uri="{28A0092B-C50C-407E-A947-70E740481C1C}">
                                <a14:useLocalDpi xmlns:a14="http://schemas.microsoft.com/office/drawing/2010/main" val="0"/>
                              </a:ext>
                            </a:extLst>
                          </a:blip>
                          <a:stretch>
                            <a:fillRect/>
                          </a:stretch>
                        </pic:blipFill>
                        <pic:spPr>
                          <a:xfrm>
                            <a:off x="0" y="0"/>
                            <a:ext cx="750608" cy="940414"/>
                          </a:xfrm>
                          <a:prstGeom prst="rect">
                            <a:avLst/>
                          </a:prstGeom>
                        </pic:spPr>
                      </pic:pic>
                    </a:graphicData>
                  </a:graphic>
                  <wp14:sizeRelH relativeFrom="page">
                    <wp14:pctWidth>0</wp14:pctWidth>
                  </wp14:sizeRelH>
                  <wp14:sizeRelV relativeFrom="page">
                    <wp14:pctHeight>0</wp14:pctHeight>
                  </wp14:sizeRelV>
                </wp:anchor>
              </w:drawing>
            </w:r>
          </w:p>
        </w:tc>
        <w:tc>
          <w:tcPr>
            <w:tcW w:w="1503" w:type="dxa"/>
          </w:tcPr>
          <w:p w:rsidR="00CF329E" w:rsidRDefault="002F5018">
            <w:r>
              <w:rPr>
                <w:noProof/>
              </w:rPr>
              <w:drawing>
                <wp:anchor distT="0" distB="0" distL="114300" distR="114300" simplePos="0" relativeHeight="251658240" behindDoc="1" locked="0" layoutInCell="1" allowOverlap="1">
                  <wp:simplePos x="0" y="0"/>
                  <wp:positionH relativeFrom="column">
                    <wp:posOffset>-447675</wp:posOffset>
                  </wp:positionH>
                  <wp:positionV relativeFrom="paragraph">
                    <wp:posOffset>22225</wp:posOffset>
                  </wp:positionV>
                  <wp:extent cx="1119117" cy="556895"/>
                  <wp:effectExtent l="0" t="0" r="508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d.png"/>
                          <pic:cNvPicPr/>
                        </pic:nvPicPr>
                        <pic:blipFill>
                          <a:blip r:embed="rId6">
                            <a:extLst>
                              <a:ext uri="{28A0092B-C50C-407E-A947-70E740481C1C}">
                                <a14:useLocalDpi xmlns:a14="http://schemas.microsoft.com/office/drawing/2010/main" val="0"/>
                              </a:ext>
                            </a:extLst>
                          </a:blip>
                          <a:stretch>
                            <a:fillRect/>
                          </a:stretch>
                        </pic:blipFill>
                        <pic:spPr>
                          <a:xfrm>
                            <a:off x="0" y="0"/>
                            <a:ext cx="1119117" cy="556895"/>
                          </a:xfrm>
                          <a:prstGeom prst="rect">
                            <a:avLst/>
                          </a:prstGeom>
                        </pic:spPr>
                      </pic:pic>
                    </a:graphicData>
                  </a:graphic>
                  <wp14:sizeRelH relativeFrom="page">
                    <wp14:pctWidth>0</wp14:pctWidth>
                  </wp14:sizeRelH>
                  <wp14:sizeRelV relativeFrom="page">
                    <wp14:pctHeight>0</wp14:pctHeight>
                  </wp14:sizeRelV>
                </wp:anchor>
              </w:drawing>
            </w:r>
          </w:p>
        </w:tc>
        <w:tc>
          <w:tcPr>
            <w:tcW w:w="1308" w:type="dxa"/>
          </w:tcPr>
          <w:p w:rsidR="00CF329E" w:rsidRDefault="002F5018">
            <w:r>
              <w:rPr>
                <w:noProof/>
              </w:rPr>
              <w:drawing>
                <wp:anchor distT="0" distB="0" distL="114300" distR="114300" simplePos="0" relativeHeight="251660288" behindDoc="0" locked="0" layoutInCell="1" allowOverlap="1">
                  <wp:simplePos x="0" y="0"/>
                  <wp:positionH relativeFrom="column">
                    <wp:posOffset>-158750</wp:posOffset>
                  </wp:positionH>
                  <wp:positionV relativeFrom="paragraph">
                    <wp:posOffset>19050</wp:posOffset>
                  </wp:positionV>
                  <wp:extent cx="892383" cy="51435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im.png"/>
                          <pic:cNvPicPr/>
                        </pic:nvPicPr>
                        <pic:blipFill>
                          <a:blip r:embed="rId7">
                            <a:extLst>
                              <a:ext uri="{28A0092B-C50C-407E-A947-70E740481C1C}">
                                <a14:useLocalDpi xmlns:a14="http://schemas.microsoft.com/office/drawing/2010/main" val="0"/>
                              </a:ext>
                            </a:extLst>
                          </a:blip>
                          <a:stretch>
                            <a:fillRect/>
                          </a:stretch>
                        </pic:blipFill>
                        <pic:spPr>
                          <a:xfrm>
                            <a:off x="0" y="0"/>
                            <a:ext cx="892383" cy="514350"/>
                          </a:xfrm>
                          <a:prstGeom prst="rect">
                            <a:avLst/>
                          </a:prstGeom>
                        </pic:spPr>
                      </pic:pic>
                    </a:graphicData>
                  </a:graphic>
                  <wp14:sizeRelH relativeFrom="page">
                    <wp14:pctWidth>0</wp14:pctWidth>
                  </wp14:sizeRelH>
                  <wp14:sizeRelV relativeFrom="page">
                    <wp14:pctHeight>0</wp14:pctHeight>
                  </wp14:sizeRelV>
                </wp:anchor>
              </w:drawing>
            </w:r>
          </w:p>
        </w:tc>
        <w:tc>
          <w:tcPr>
            <w:tcW w:w="1321" w:type="dxa"/>
          </w:tcPr>
          <w:p w:rsidR="00CF329E" w:rsidRDefault="002F5018">
            <w:r>
              <w:rPr>
                <w:noProof/>
              </w:rPr>
              <w:drawing>
                <wp:anchor distT="0" distB="0" distL="114300" distR="114300" simplePos="0" relativeHeight="251661312" behindDoc="0" locked="0" layoutInCell="1" allowOverlap="1">
                  <wp:simplePos x="0" y="0"/>
                  <wp:positionH relativeFrom="column">
                    <wp:posOffset>-16510</wp:posOffset>
                  </wp:positionH>
                  <wp:positionV relativeFrom="paragraph">
                    <wp:posOffset>55880</wp:posOffset>
                  </wp:positionV>
                  <wp:extent cx="972589" cy="44057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asci - nexus.jpg"/>
                          <pic:cNvPicPr/>
                        </pic:nvPicPr>
                        <pic:blipFill>
                          <a:blip r:embed="rId8">
                            <a:extLst>
                              <a:ext uri="{28A0092B-C50C-407E-A947-70E740481C1C}">
                                <a14:useLocalDpi xmlns:a14="http://schemas.microsoft.com/office/drawing/2010/main" val="0"/>
                              </a:ext>
                            </a:extLst>
                          </a:blip>
                          <a:stretch>
                            <a:fillRect/>
                          </a:stretch>
                        </pic:blipFill>
                        <pic:spPr>
                          <a:xfrm>
                            <a:off x="0" y="0"/>
                            <a:ext cx="972589" cy="440575"/>
                          </a:xfrm>
                          <a:prstGeom prst="rect">
                            <a:avLst/>
                          </a:prstGeom>
                        </pic:spPr>
                      </pic:pic>
                    </a:graphicData>
                  </a:graphic>
                  <wp14:sizeRelH relativeFrom="page">
                    <wp14:pctWidth>0</wp14:pctWidth>
                  </wp14:sizeRelH>
                  <wp14:sizeRelV relativeFrom="page">
                    <wp14:pctHeight>0</wp14:pctHeight>
                  </wp14:sizeRelV>
                </wp:anchor>
              </w:drawing>
            </w:r>
          </w:p>
        </w:tc>
        <w:tc>
          <w:tcPr>
            <w:tcW w:w="1525" w:type="dxa"/>
          </w:tcPr>
          <w:p w:rsidR="00CF329E" w:rsidRDefault="002F5018">
            <w:r>
              <w:rPr>
                <w:noProof/>
              </w:rPr>
              <w:drawing>
                <wp:anchor distT="0" distB="0" distL="114300" distR="114300" simplePos="0" relativeHeight="251663360" behindDoc="0" locked="0" layoutInCell="1" allowOverlap="1">
                  <wp:simplePos x="0" y="0"/>
                  <wp:positionH relativeFrom="column">
                    <wp:posOffset>159385</wp:posOffset>
                  </wp:positionH>
                  <wp:positionV relativeFrom="paragraph">
                    <wp:posOffset>3175</wp:posOffset>
                  </wp:positionV>
                  <wp:extent cx="571500" cy="10953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dp.png"/>
                          <pic:cNvPicPr/>
                        </pic:nvPicPr>
                        <pic:blipFill>
                          <a:blip r:embed="rId9">
                            <a:extLst>
                              <a:ext uri="{28A0092B-C50C-407E-A947-70E740481C1C}">
                                <a14:useLocalDpi xmlns:a14="http://schemas.microsoft.com/office/drawing/2010/main" val="0"/>
                              </a:ext>
                            </a:extLst>
                          </a:blip>
                          <a:stretch>
                            <a:fillRect/>
                          </a:stretch>
                        </pic:blipFill>
                        <pic:spPr>
                          <a:xfrm>
                            <a:off x="0" y="0"/>
                            <a:ext cx="571500" cy="1095375"/>
                          </a:xfrm>
                          <a:prstGeom prst="rect">
                            <a:avLst/>
                          </a:prstGeom>
                        </pic:spPr>
                      </pic:pic>
                    </a:graphicData>
                  </a:graphic>
                  <wp14:sizeRelH relativeFrom="page">
                    <wp14:pctWidth>0</wp14:pctWidth>
                  </wp14:sizeRelH>
                  <wp14:sizeRelV relativeFrom="page">
                    <wp14:pctHeight>0</wp14:pctHeight>
                  </wp14:sizeRelV>
                </wp:anchor>
              </w:drawing>
            </w:r>
          </w:p>
        </w:tc>
        <w:tc>
          <w:tcPr>
            <w:tcW w:w="2676" w:type="dxa"/>
          </w:tcPr>
          <w:p w:rsidR="00CF329E" w:rsidRDefault="00CF329E">
            <w:r>
              <w:rPr>
                <w:noProof/>
              </w:rPr>
              <w:drawing>
                <wp:anchor distT="0" distB="0" distL="114300" distR="114300" simplePos="0" relativeHeight="251662336" behindDoc="0" locked="0" layoutInCell="1" allowOverlap="1">
                  <wp:simplePos x="0" y="0"/>
                  <wp:positionH relativeFrom="column">
                    <wp:posOffset>-156456</wp:posOffset>
                  </wp:positionH>
                  <wp:positionV relativeFrom="paragraph">
                    <wp:posOffset>-6350</wp:posOffset>
                  </wp:positionV>
                  <wp:extent cx="1555750" cy="1037230"/>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dc.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55750" cy="1037230"/>
                          </a:xfrm>
                          <a:prstGeom prst="rect">
                            <a:avLst/>
                          </a:prstGeom>
                        </pic:spPr>
                      </pic:pic>
                    </a:graphicData>
                  </a:graphic>
                  <wp14:sizeRelH relativeFrom="page">
                    <wp14:pctWidth>0</wp14:pctWidth>
                  </wp14:sizeRelH>
                  <wp14:sizeRelV relativeFrom="page">
                    <wp14:pctHeight>0</wp14:pctHeight>
                  </wp14:sizeRelV>
                </wp:anchor>
              </w:drawing>
            </w:r>
          </w:p>
        </w:tc>
      </w:tr>
    </w:tbl>
    <w:p w:rsidR="00097206" w:rsidRDefault="00097206">
      <w:pPr>
        <w:pBdr>
          <w:bottom w:val="single" w:sz="12" w:space="1" w:color="auto"/>
        </w:pBdr>
      </w:pPr>
    </w:p>
    <w:p w:rsidR="00D30FB0" w:rsidRPr="00B630E4" w:rsidRDefault="00D30FB0" w:rsidP="00D30FB0">
      <w:pPr>
        <w:jc w:val="center"/>
        <w:rPr>
          <w:b/>
          <w:color w:val="2E74B5" w:themeColor="accent5" w:themeShade="BF"/>
          <w:u w:val="single"/>
          <w:lang w:val="es-ES"/>
        </w:rPr>
      </w:pPr>
      <w:proofErr w:type="spellStart"/>
      <w:r w:rsidRPr="00B630E4">
        <w:rPr>
          <w:b/>
          <w:color w:val="2E74B5" w:themeColor="accent5" w:themeShade="BF"/>
          <w:sz w:val="28"/>
          <w:szCs w:val="28"/>
          <w:lang w:val="es-ES"/>
        </w:rPr>
        <w:t>Proiectul</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Consolidarea</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legăturii</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dintre</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migrație</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și</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dezvoltare</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în</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Moldova</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adaptarea</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şi</w:t>
      </w:r>
      <w:proofErr w:type="spellEnd"/>
      <w:r w:rsidRPr="00B630E4">
        <w:rPr>
          <w:b/>
          <w:color w:val="2E74B5" w:themeColor="accent5" w:themeShade="BF"/>
          <w:sz w:val="28"/>
          <w:szCs w:val="28"/>
          <w:lang w:val="es-ES"/>
        </w:rPr>
        <w:t xml:space="preserve"> testarea </w:t>
      </w:r>
      <w:proofErr w:type="spellStart"/>
      <w:r w:rsidRPr="00B630E4">
        <w:rPr>
          <w:b/>
          <w:color w:val="2E74B5" w:themeColor="accent5" w:themeShade="BF"/>
          <w:sz w:val="28"/>
          <w:szCs w:val="28"/>
          <w:lang w:val="es-ES"/>
        </w:rPr>
        <w:t>modelului</w:t>
      </w:r>
      <w:proofErr w:type="spellEnd"/>
      <w:r w:rsidRPr="00B630E4">
        <w:rPr>
          <w:b/>
          <w:color w:val="2E74B5" w:themeColor="accent5" w:themeShade="BF"/>
          <w:sz w:val="28"/>
          <w:szCs w:val="28"/>
          <w:lang w:val="es-ES"/>
        </w:rPr>
        <w:t xml:space="preserve"> de prestare a </w:t>
      </w:r>
      <w:proofErr w:type="spellStart"/>
      <w:r w:rsidRPr="00B630E4">
        <w:rPr>
          <w:b/>
          <w:color w:val="2E74B5" w:themeColor="accent5" w:themeShade="BF"/>
          <w:sz w:val="28"/>
          <w:szCs w:val="28"/>
          <w:lang w:val="es-ES"/>
        </w:rPr>
        <w:t>serviciilor</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integrate</w:t>
      </w:r>
      <w:proofErr w:type="spellEnd"/>
      <w:r w:rsidRPr="00B630E4">
        <w:rPr>
          <w:b/>
          <w:color w:val="2E74B5" w:themeColor="accent5" w:themeShade="BF"/>
          <w:sz w:val="28"/>
          <w:szCs w:val="28"/>
          <w:lang w:val="es-ES"/>
        </w:rPr>
        <w:t xml:space="preserve"> NEXUS </w:t>
      </w:r>
      <w:proofErr w:type="spellStart"/>
      <w:r w:rsidRPr="00B630E4">
        <w:rPr>
          <w:b/>
          <w:color w:val="2E74B5" w:themeColor="accent5" w:themeShade="BF"/>
          <w:sz w:val="28"/>
          <w:szCs w:val="28"/>
          <w:lang w:val="es-ES"/>
        </w:rPr>
        <w:t>Moldova</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în</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calitate</w:t>
      </w:r>
      <w:proofErr w:type="spellEnd"/>
      <w:r w:rsidRPr="00B630E4">
        <w:rPr>
          <w:b/>
          <w:color w:val="2E74B5" w:themeColor="accent5" w:themeShade="BF"/>
          <w:sz w:val="28"/>
          <w:szCs w:val="28"/>
          <w:lang w:val="es-ES"/>
        </w:rPr>
        <w:t xml:space="preserve"> de </w:t>
      </w:r>
      <w:proofErr w:type="spellStart"/>
      <w:r w:rsidRPr="00B630E4">
        <w:rPr>
          <w:b/>
          <w:color w:val="2E74B5" w:themeColor="accent5" w:themeShade="BF"/>
          <w:sz w:val="28"/>
          <w:szCs w:val="28"/>
          <w:lang w:val="es-ES"/>
        </w:rPr>
        <w:t>întreprindere</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socială</w:t>
      </w:r>
      <w:proofErr w:type="spellEnd"/>
      <w:r w:rsidRPr="00B630E4">
        <w:rPr>
          <w:b/>
          <w:color w:val="2E74B5" w:themeColor="accent5" w:themeShade="BF"/>
          <w:sz w:val="28"/>
          <w:szCs w:val="28"/>
          <w:lang w:val="es-ES"/>
        </w:rPr>
        <w:t xml:space="preserve"> </w:t>
      </w:r>
      <w:proofErr w:type="spellStart"/>
      <w:r w:rsidRPr="00B630E4">
        <w:rPr>
          <w:b/>
          <w:color w:val="2E74B5" w:themeColor="accent5" w:themeShade="BF"/>
          <w:sz w:val="28"/>
          <w:szCs w:val="28"/>
          <w:lang w:val="es-ES"/>
        </w:rPr>
        <w:t>durabilă</w:t>
      </w:r>
      <w:proofErr w:type="spellEnd"/>
      <w:r w:rsidRPr="00B630E4">
        <w:rPr>
          <w:b/>
          <w:color w:val="2E74B5" w:themeColor="accent5" w:themeShade="BF"/>
          <w:sz w:val="28"/>
          <w:szCs w:val="28"/>
          <w:lang w:val="es-ES"/>
        </w:rPr>
        <w:t xml:space="preserve">” </w:t>
      </w:r>
    </w:p>
    <w:p w:rsidR="00D30FB0" w:rsidRPr="00B630E4" w:rsidRDefault="00D30FB0" w:rsidP="00D30FB0">
      <w:pPr>
        <w:jc w:val="center"/>
        <w:rPr>
          <w:b/>
          <w:color w:val="2E74B5" w:themeColor="accent5" w:themeShade="BF"/>
          <w:sz w:val="2"/>
          <w:szCs w:val="2"/>
          <w:u w:val="single"/>
          <w:lang w:val="es-ES"/>
        </w:rPr>
      </w:pPr>
    </w:p>
    <w:p w:rsidR="00D30FB0" w:rsidRPr="00B02D17" w:rsidRDefault="00D30FB0" w:rsidP="00D30FB0">
      <w:pPr>
        <w:pStyle w:val="NoSpacing"/>
        <w:rPr>
          <w:lang w:val="es-ES"/>
        </w:rPr>
      </w:pPr>
      <w:r w:rsidRPr="00DB0388">
        <w:rPr>
          <w:b/>
          <w:color w:val="2E74B5" w:themeColor="accent5" w:themeShade="BF"/>
          <w:u w:val="single"/>
        </w:rPr>
        <w:t>Perioada de implementare:</w:t>
      </w:r>
      <w:r w:rsidRPr="00DB0388">
        <w:rPr>
          <w:b/>
          <w:color w:val="2E74B5" w:themeColor="accent5" w:themeShade="BF"/>
        </w:rPr>
        <w:t xml:space="preserve"> </w:t>
      </w:r>
      <w:r w:rsidR="00F466A3" w:rsidRPr="00F466A3">
        <w:t>15.12.2015 – 31.12.2018</w:t>
      </w:r>
      <w:r w:rsidR="00F466A3">
        <w:t xml:space="preserve"> </w:t>
      </w:r>
    </w:p>
    <w:p w:rsidR="00D30FB0" w:rsidRPr="008F3C59" w:rsidRDefault="00D30FB0" w:rsidP="00D30FB0">
      <w:pPr>
        <w:pStyle w:val="NoSpacing"/>
        <w:rPr>
          <w:sz w:val="6"/>
          <w:szCs w:val="6"/>
        </w:rPr>
      </w:pPr>
    </w:p>
    <w:p w:rsidR="00D30FB0" w:rsidRDefault="00D30FB0" w:rsidP="00D30FB0">
      <w:pPr>
        <w:pStyle w:val="NoSpacing"/>
      </w:pPr>
      <w:r w:rsidRPr="00DB0388">
        <w:rPr>
          <w:b/>
          <w:color w:val="2E74B5" w:themeColor="accent5" w:themeShade="BF"/>
          <w:u w:val="single"/>
        </w:rPr>
        <w:t xml:space="preserve">Perioada de </w:t>
      </w:r>
      <w:r>
        <w:rPr>
          <w:b/>
          <w:color w:val="2E74B5" w:themeColor="accent5" w:themeShade="BF"/>
          <w:u w:val="single"/>
        </w:rPr>
        <w:t>raportare:</w:t>
      </w:r>
      <w:r w:rsidRPr="008F3C59">
        <w:rPr>
          <w:b/>
          <w:color w:val="2E74B5" w:themeColor="accent5" w:themeShade="BF"/>
        </w:rPr>
        <w:t xml:space="preserve"> </w:t>
      </w:r>
      <w:r w:rsidR="00F466A3" w:rsidRPr="00F466A3">
        <w:t>2016</w:t>
      </w:r>
      <w:r w:rsidR="00F466A3">
        <w:t xml:space="preserve"> </w:t>
      </w:r>
    </w:p>
    <w:p w:rsidR="00D30FB0" w:rsidRPr="008F3C59" w:rsidRDefault="00D30FB0" w:rsidP="00D30FB0">
      <w:pPr>
        <w:pStyle w:val="NoSpacing"/>
        <w:rPr>
          <w:sz w:val="6"/>
          <w:szCs w:val="6"/>
        </w:rPr>
      </w:pPr>
    </w:p>
    <w:p w:rsidR="00D30FB0" w:rsidRDefault="00D30FB0" w:rsidP="00D30FB0">
      <w:pPr>
        <w:pStyle w:val="NoSpacing"/>
      </w:pPr>
      <w:r w:rsidRPr="00DB0388">
        <w:rPr>
          <w:b/>
          <w:color w:val="2E74B5" w:themeColor="accent5" w:themeShade="BF"/>
          <w:u w:val="single"/>
        </w:rPr>
        <w:t>Buget:</w:t>
      </w:r>
      <w:r w:rsidRPr="00DB0388">
        <w:rPr>
          <w:sz w:val="28"/>
          <w:szCs w:val="28"/>
        </w:rPr>
        <w:t xml:space="preserve"> </w:t>
      </w:r>
      <w:r w:rsidR="00F466A3" w:rsidRPr="00F466A3">
        <w:t>2,523,440 CHF</w:t>
      </w:r>
    </w:p>
    <w:p w:rsidR="00D30FB0" w:rsidRPr="008F3C59" w:rsidRDefault="00D30FB0" w:rsidP="00D30FB0">
      <w:pPr>
        <w:pStyle w:val="NoSpacing"/>
        <w:rPr>
          <w:sz w:val="6"/>
          <w:szCs w:val="6"/>
        </w:rPr>
      </w:pPr>
    </w:p>
    <w:p w:rsidR="00D30FB0" w:rsidRDefault="00D30FB0" w:rsidP="00D30FB0">
      <w:pPr>
        <w:pStyle w:val="NoSpacing"/>
      </w:pPr>
      <w:r>
        <w:rPr>
          <w:b/>
          <w:color w:val="2E74B5" w:themeColor="accent5" w:themeShade="BF"/>
          <w:u w:val="single"/>
        </w:rPr>
        <w:t>Implementatori:</w:t>
      </w:r>
      <w:r>
        <w:t xml:space="preserve"> </w:t>
      </w:r>
      <w:r w:rsidR="00F466A3" w:rsidRPr="00F466A3">
        <w:t xml:space="preserve">International Agency for </w:t>
      </w:r>
      <w:proofErr w:type="spellStart"/>
      <w:r w:rsidR="00F466A3" w:rsidRPr="00F466A3">
        <w:t>Source</w:t>
      </w:r>
      <w:proofErr w:type="spellEnd"/>
      <w:r w:rsidR="00F466A3" w:rsidRPr="00F466A3">
        <w:t xml:space="preserve"> Country Information („</w:t>
      </w:r>
      <w:proofErr w:type="spellStart"/>
      <w:r w:rsidR="00F466A3" w:rsidRPr="00F466A3">
        <w:t>Agenţia</w:t>
      </w:r>
      <w:proofErr w:type="spellEnd"/>
      <w:r w:rsidR="00F466A3" w:rsidRPr="00F466A3">
        <w:t xml:space="preserve"> </w:t>
      </w:r>
      <w:proofErr w:type="spellStart"/>
      <w:r w:rsidR="00F466A3" w:rsidRPr="00F466A3">
        <w:t>Internaţională</w:t>
      </w:r>
      <w:proofErr w:type="spellEnd"/>
      <w:r w:rsidR="00F466A3" w:rsidRPr="00F466A3">
        <w:t xml:space="preserve"> pentru </w:t>
      </w:r>
      <w:proofErr w:type="spellStart"/>
      <w:r w:rsidR="00F466A3" w:rsidRPr="00F466A3">
        <w:t>Informaţii</w:t>
      </w:r>
      <w:proofErr w:type="spellEnd"/>
      <w:r w:rsidR="00F466A3" w:rsidRPr="00F466A3">
        <w:t xml:space="preserve"> din </w:t>
      </w:r>
      <w:proofErr w:type="spellStart"/>
      <w:r w:rsidR="00F466A3" w:rsidRPr="00F466A3">
        <w:t>Ţările</w:t>
      </w:r>
      <w:proofErr w:type="spellEnd"/>
      <w:r w:rsidR="00F466A3" w:rsidRPr="00F466A3">
        <w:t xml:space="preserve"> Sursă”, IASCI, Austria) prin intermediul</w:t>
      </w:r>
      <w:bookmarkStart w:id="0" w:name="_GoBack"/>
      <w:bookmarkEnd w:id="0"/>
      <w:r w:rsidR="00F466A3" w:rsidRPr="00F466A3">
        <w:t xml:space="preserve"> reprezentanței în Republica Moldova</w:t>
      </w:r>
    </w:p>
    <w:p w:rsidR="00D30FB0" w:rsidRPr="008F3C59" w:rsidRDefault="00D30FB0" w:rsidP="00D30FB0">
      <w:pPr>
        <w:pStyle w:val="NoSpacing"/>
        <w:rPr>
          <w:sz w:val="6"/>
          <w:szCs w:val="6"/>
        </w:rPr>
      </w:pPr>
    </w:p>
    <w:p w:rsidR="00D30FB0" w:rsidRDefault="00D30FB0" w:rsidP="00D30FB0">
      <w:pPr>
        <w:pStyle w:val="NoSpacing"/>
        <w:rPr>
          <w:rFonts w:ascii="Calibri" w:eastAsia="Calibri" w:hAnsi="Calibri"/>
          <w:b/>
          <w:color w:val="2E74B5" w:themeColor="accent5" w:themeShade="BF"/>
          <w:u w:val="single"/>
        </w:rPr>
      </w:pPr>
      <w:r w:rsidRPr="00DB0388">
        <w:rPr>
          <w:rFonts w:ascii="Calibri" w:eastAsia="Calibri" w:hAnsi="Calibri"/>
          <w:b/>
          <w:color w:val="2E74B5" w:themeColor="accent5" w:themeShade="BF"/>
          <w:u w:val="single"/>
        </w:rPr>
        <w:t>Obiectivele proiectului</w:t>
      </w:r>
      <w:r>
        <w:rPr>
          <w:rFonts w:ascii="Calibri" w:eastAsia="Calibri" w:hAnsi="Calibri"/>
          <w:b/>
          <w:color w:val="2E74B5" w:themeColor="accent5" w:themeShade="BF"/>
          <w:u w:val="single"/>
        </w:rPr>
        <w:t xml:space="preserve">: </w:t>
      </w:r>
    </w:p>
    <w:p w:rsidR="00D30FB0" w:rsidRPr="00F466A3" w:rsidRDefault="00F466A3" w:rsidP="00D30FB0">
      <w:pPr>
        <w:jc w:val="both"/>
        <w:rPr>
          <w:rFonts w:ascii="Calibri" w:eastAsia="Calibri" w:hAnsi="Calibri"/>
          <w:b/>
          <w:color w:val="2E74B5" w:themeColor="accent5" w:themeShade="BF"/>
          <w:lang w:val="ro-RO"/>
        </w:rPr>
      </w:pPr>
      <w:r w:rsidRPr="00F466A3">
        <w:rPr>
          <w:lang w:val="ro-RO"/>
        </w:rPr>
        <w:t xml:space="preserve">NEXUS Moldova este o inițiativă-prototip cu obiectivul de a crea o platformă de informare, consultare și servicii menite să acorde ajutor </w:t>
      </w:r>
      <w:proofErr w:type="spellStart"/>
      <w:r w:rsidRPr="00F466A3">
        <w:rPr>
          <w:lang w:val="ro-RO"/>
        </w:rPr>
        <w:t>migranților</w:t>
      </w:r>
      <w:proofErr w:type="spellEnd"/>
      <w:r w:rsidRPr="00F466A3">
        <w:rPr>
          <w:lang w:val="ro-RO"/>
        </w:rPr>
        <w:t xml:space="preserve"> moldoveni prin conectarea acestora cu reprezentanții sectorului public, privat și asociativ, în vederea atingerii unor beneficii maxime pentru toți actorii implicați în procesul migrației și dezvoltării atât din Moldova, cât și din țările de destinație.</w:t>
      </w:r>
    </w:p>
    <w:p w:rsidR="00D30FB0" w:rsidRPr="008F3C59" w:rsidRDefault="00D30FB0" w:rsidP="00D30FB0">
      <w:pPr>
        <w:spacing w:before="240" w:after="0" w:line="240" w:lineRule="auto"/>
        <w:jc w:val="both"/>
        <w:rPr>
          <w:rFonts w:ascii="Calibri" w:eastAsia="Calibri" w:hAnsi="Calibri"/>
          <w:b/>
          <w:color w:val="2E74B5" w:themeColor="accent5" w:themeShade="BF"/>
          <w:u w:val="single"/>
        </w:rPr>
      </w:pPr>
      <w:proofErr w:type="spellStart"/>
      <w:r w:rsidRPr="00C04EAD">
        <w:rPr>
          <w:rFonts w:ascii="Calibri" w:eastAsia="Calibri" w:hAnsi="Calibri"/>
          <w:b/>
          <w:color w:val="2E74B5" w:themeColor="accent5" w:themeShade="BF"/>
          <w:u w:val="single"/>
        </w:rPr>
        <w:t>Ac</w:t>
      </w:r>
      <w:r>
        <w:rPr>
          <w:rFonts w:ascii="Calibri" w:eastAsia="Calibri" w:hAnsi="Calibri"/>
          <w:b/>
          <w:color w:val="2E74B5" w:themeColor="accent5" w:themeShade="BF"/>
          <w:u w:val="single"/>
        </w:rPr>
        <w:t>tivități</w:t>
      </w:r>
      <w:proofErr w:type="spellEnd"/>
      <w:r>
        <w:rPr>
          <w:rFonts w:ascii="Calibri" w:eastAsia="Calibri" w:hAnsi="Calibri"/>
          <w:b/>
          <w:color w:val="2E74B5" w:themeColor="accent5" w:themeShade="BF"/>
          <w:u w:val="single"/>
        </w:rPr>
        <w:t xml:space="preserve"> </w:t>
      </w:r>
      <w:proofErr w:type="spellStart"/>
      <w:r>
        <w:rPr>
          <w:rFonts w:ascii="Calibri" w:eastAsia="Calibri" w:hAnsi="Calibri"/>
          <w:b/>
          <w:color w:val="2E74B5" w:themeColor="accent5" w:themeShade="BF"/>
          <w:u w:val="single"/>
        </w:rPr>
        <w:t>realizate</w:t>
      </w:r>
      <w:proofErr w:type="spellEnd"/>
      <w:r>
        <w:rPr>
          <w:rFonts w:ascii="Calibri" w:eastAsia="Calibri" w:hAnsi="Calibri"/>
          <w:b/>
          <w:color w:val="2E74B5" w:themeColor="accent5" w:themeShade="BF"/>
          <w:u w:val="single"/>
        </w:rPr>
        <w:t xml:space="preserve"> </w:t>
      </w:r>
      <w:proofErr w:type="spellStart"/>
      <w:r w:rsidR="00F466A3">
        <w:rPr>
          <w:rFonts w:ascii="Calibri" w:eastAsia="Calibri" w:hAnsi="Calibri"/>
          <w:b/>
          <w:color w:val="2E74B5" w:themeColor="accent5" w:themeShade="BF"/>
          <w:u w:val="single"/>
        </w:rPr>
        <w:t>în</w:t>
      </w:r>
      <w:proofErr w:type="spellEnd"/>
      <w:r w:rsidR="00F466A3">
        <w:rPr>
          <w:rFonts w:ascii="Calibri" w:eastAsia="Calibri" w:hAnsi="Calibri"/>
          <w:b/>
          <w:color w:val="2E74B5" w:themeColor="accent5" w:themeShade="BF"/>
          <w:u w:val="single"/>
        </w:rPr>
        <w:t xml:space="preserve"> </w:t>
      </w:r>
      <w:proofErr w:type="spellStart"/>
      <w:r w:rsidR="00F466A3">
        <w:rPr>
          <w:rFonts w:ascii="Calibri" w:eastAsia="Calibri" w:hAnsi="Calibri"/>
          <w:b/>
          <w:color w:val="2E74B5" w:themeColor="accent5" w:themeShade="BF"/>
          <w:u w:val="single"/>
        </w:rPr>
        <w:t>anul</w:t>
      </w:r>
      <w:proofErr w:type="spellEnd"/>
      <w:r>
        <w:rPr>
          <w:rFonts w:ascii="Calibri" w:eastAsia="Calibri" w:hAnsi="Calibri"/>
          <w:b/>
          <w:color w:val="2E74B5" w:themeColor="accent5" w:themeShade="BF"/>
          <w:u w:val="single"/>
        </w:rPr>
        <w:t xml:space="preserve"> </w:t>
      </w:r>
      <w:proofErr w:type="spellStart"/>
      <w:r>
        <w:rPr>
          <w:rFonts w:ascii="Calibri" w:eastAsia="Calibri" w:hAnsi="Calibri"/>
          <w:b/>
          <w:color w:val="2E74B5" w:themeColor="accent5" w:themeShade="BF"/>
          <w:u w:val="single"/>
        </w:rPr>
        <w:t>anul</w:t>
      </w:r>
      <w:proofErr w:type="spellEnd"/>
      <w:r>
        <w:rPr>
          <w:rFonts w:ascii="Calibri" w:eastAsia="Calibri" w:hAnsi="Calibri"/>
          <w:b/>
          <w:color w:val="2E74B5" w:themeColor="accent5" w:themeShade="BF"/>
          <w:u w:val="single"/>
        </w:rPr>
        <w:t xml:space="preserve"> 2016,</w:t>
      </w:r>
      <w:r w:rsidRPr="00C04EAD">
        <w:rPr>
          <w:rFonts w:ascii="Calibri" w:eastAsia="Calibri" w:hAnsi="Calibri"/>
          <w:b/>
          <w:color w:val="2E74B5" w:themeColor="accent5" w:themeShade="BF"/>
          <w:u w:val="single"/>
        </w:rPr>
        <w:t xml:space="preserve"> </w:t>
      </w:r>
      <w:proofErr w:type="spellStart"/>
      <w:r w:rsidRPr="00C04EAD">
        <w:rPr>
          <w:rFonts w:ascii="Calibri" w:eastAsia="Calibri" w:hAnsi="Calibri"/>
          <w:b/>
          <w:color w:val="2E74B5" w:themeColor="accent5" w:themeShade="BF"/>
          <w:u w:val="single"/>
        </w:rPr>
        <w:t>rezultate</w:t>
      </w:r>
      <w:proofErr w:type="spellEnd"/>
      <w:r w:rsidRPr="00C04EAD">
        <w:rPr>
          <w:rFonts w:ascii="Calibri" w:eastAsia="Calibri" w:hAnsi="Calibri"/>
          <w:b/>
          <w:color w:val="2E74B5" w:themeColor="accent5" w:themeShade="BF"/>
          <w:u w:val="single"/>
        </w:rPr>
        <w:t xml:space="preserve"> </w:t>
      </w:r>
      <w:proofErr w:type="spellStart"/>
      <w:r w:rsidRPr="00C04EAD">
        <w:rPr>
          <w:rFonts w:ascii="Calibri" w:eastAsia="Calibri" w:hAnsi="Calibri"/>
          <w:b/>
          <w:color w:val="2E74B5" w:themeColor="accent5" w:themeShade="BF"/>
          <w:u w:val="single"/>
        </w:rPr>
        <w:t>preliminare</w:t>
      </w:r>
      <w:proofErr w:type="spellEnd"/>
      <w:r w:rsidRPr="00C04EAD">
        <w:rPr>
          <w:rFonts w:ascii="Calibri" w:eastAsia="Calibri" w:hAnsi="Calibri"/>
          <w:b/>
          <w:color w:val="2E74B5" w:themeColor="accent5" w:themeShade="BF"/>
          <w:u w:val="single"/>
        </w:rPr>
        <w:t>:</w:t>
      </w:r>
    </w:p>
    <w:p w:rsidR="00F466A3" w:rsidRPr="00372D4F" w:rsidRDefault="00F466A3" w:rsidP="00F466A3">
      <w:pPr>
        <w:pStyle w:val="NormalWeb"/>
        <w:numPr>
          <w:ilvl w:val="0"/>
          <w:numId w:val="1"/>
        </w:numPr>
        <w:spacing w:beforeLines="0" w:before="60" w:afterLines="0" w:after="60"/>
        <w:ind w:left="0"/>
        <w:jc w:val="both"/>
        <w:rPr>
          <w:rFonts w:ascii="Calibri" w:hAnsi="Calibri"/>
          <w:szCs w:val="24"/>
          <w:lang w:val="ro-RO"/>
        </w:rPr>
      </w:pPr>
      <w:r w:rsidRPr="00372D4F">
        <w:rPr>
          <w:rFonts w:ascii="Calibri" w:hAnsi="Calibri"/>
          <w:szCs w:val="24"/>
          <w:lang w:val="ro-RO"/>
        </w:rPr>
        <w:t xml:space="preserve">Susținerea și implicarea partenerilor naționali - Cancelaria de Stat și Biroul pentru Relații cu Diaspora, Congresul Autorităților Locale din Moldova și partenerilor locali (autoritățile locale de nivel I și II) din </w:t>
      </w:r>
      <w:proofErr w:type="spellStart"/>
      <w:r w:rsidRPr="00372D4F">
        <w:rPr>
          <w:rFonts w:ascii="Calibri" w:hAnsi="Calibri"/>
          <w:szCs w:val="24"/>
          <w:lang w:val="ro-RO"/>
        </w:rPr>
        <w:t>Edineț</w:t>
      </w:r>
      <w:proofErr w:type="spellEnd"/>
      <w:r w:rsidRPr="00372D4F">
        <w:rPr>
          <w:rFonts w:ascii="Calibri" w:hAnsi="Calibri"/>
          <w:szCs w:val="24"/>
          <w:lang w:val="ro-RO"/>
        </w:rPr>
        <w:t>, Ungheni, Cahul, Chișinău, Cimișlia, Rezina.</w:t>
      </w:r>
    </w:p>
    <w:p w:rsidR="00F466A3" w:rsidRPr="00372D4F" w:rsidRDefault="00F466A3" w:rsidP="00F466A3">
      <w:pPr>
        <w:pStyle w:val="NormalWeb"/>
        <w:numPr>
          <w:ilvl w:val="0"/>
          <w:numId w:val="1"/>
        </w:numPr>
        <w:spacing w:beforeLines="0" w:before="60" w:afterLines="0" w:after="60"/>
        <w:ind w:left="0"/>
        <w:jc w:val="both"/>
        <w:rPr>
          <w:rFonts w:ascii="Calibri" w:hAnsi="Calibri"/>
          <w:szCs w:val="24"/>
          <w:lang w:val="ro-RO"/>
        </w:rPr>
      </w:pPr>
      <w:r w:rsidRPr="00372D4F">
        <w:rPr>
          <w:rFonts w:ascii="Calibri" w:hAnsi="Calibri"/>
          <w:szCs w:val="24"/>
          <w:lang w:val="ro-RO"/>
        </w:rPr>
        <w:t xml:space="preserve">Semnarea acordului de parteneriat cu Centrul de Guvernare Electronică, Terre des </w:t>
      </w:r>
      <w:proofErr w:type="spellStart"/>
      <w:r w:rsidRPr="00372D4F">
        <w:rPr>
          <w:rFonts w:ascii="Calibri" w:hAnsi="Calibri"/>
          <w:szCs w:val="24"/>
          <w:lang w:val="ro-RO"/>
        </w:rPr>
        <w:t>Hommes</w:t>
      </w:r>
      <w:proofErr w:type="spellEnd"/>
      <w:r w:rsidRPr="00372D4F">
        <w:rPr>
          <w:rFonts w:ascii="Calibri" w:hAnsi="Calibri"/>
          <w:szCs w:val="24"/>
          <w:lang w:val="ro-RO"/>
        </w:rPr>
        <w:t xml:space="preserve"> Moldova, Rețeaua de Transfer Tehnologic din Moldova (proiectul Enterprise Europe </w:t>
      </w:r>
      <w:proofErr w:type="spellStart"/>
      <w:r w:rsidRPr="00372D4F">
        <w:rPr>
          <w:rFonts w:ascii="Calibri" w:hAnsi="Calibri"/>
          <w:szCs w:val="24"/>
          <w:lang w:val="ro-RO"/>
        </w:rPr>
        <w:t>Network</w:t>
      </w:r>
      <w:proofErr w:type="spellEnd"/>
      <w:r w:rsidRPr="00372D4F">
        <w:rPr>
          <w:rFonts w:ascii="Calibri" w:hAnsi="Calibri"/>
          <w:szCs w:val="24"/>
          <w:lang w:val="ro-RO"/>
        </w:rPr>
        <w:t>).</w:t>
      </w:r>
    </w:p>
    <w:p w:rsidR="00F466A3" w:rsidRPr="00372D4F" w:rsidRDefault="00F466A3" w:rsidP="00F466A3">
      <w:pPr>
        <w:pStyle w:val="NormalWeb"/>
        <w:numPr>
          <w:ilvl w:val="0"/>
          <w:numId w:val="1"/>
        </w:numPr>
        <w:spacing w:beforeLines="0" w:before="60" w:afterLines="0" w:after="60"/>
        <w:ind w:left="0" w:right="-180"/>
        <w:rPr>
          <w:color w:val="A5A5A5" w:themeColor="accent3"/>
          <w:sz w:val="32"/>
          <w:lang w:val="ro-RO"/>
        </w:rPr>
      </w:pPr>
      <w:r w:rsidRPr="00372D4F">
        <w:rPr>
          <w:rFonts w:ascii="Calibri" w:hAnsi="Calibri"/>
          <w:szCs w:val="24"/>
          <w:lang w:val="ro-RO"/>
        </w:rPr>
        <w:t>Colectarea oportunităților de investiții la nivel local și prezentarea lor în cadrul Forumului de Afaceri al Diasporei din august 2016.</w:t>
      </w:r>
    </w:p>
    <w:p w:rsidR="00F466A3" w:rsidRPr="00372D4F" w:rsidRDefault="00F466A3" w:rsidP="00F466A3">
      <w:pPr>
        <w:pStyle w:val="NormalWeb"/>
        <w:numPr>
          <w:ilvl w:val="0"/>
          <w:numId w:val="1"/>
        </w:numPr>
        <w:spacing w:beforeLines="0" w:before="60" w:afterLines="0" w:after="60"/>
        <w:ind w:left="0"/>
        <w:jc w:val="both"/>
        <w:rPr>
          <w:rFonts w:ascii="Calibri" w:hAnsi="Calibri"/>
          <w:szCs w:val="24"/>
          <w:lang w:val="ro-RO"/>
        </w:rPr>
      </w:pPr>
      <w:r w:rsidRPr="00372D4F">
        <w:rPr>
          <w:rFonts w:ascii="Calibri" w:hAnsi="Calibri"/>
          <w:szCs w:val="24"/>
          <w:lang w:val="ro-RO"/>
        </w:rPr>
        <w:t>Crearea Consiliului Consultativ Național NEXUS din care fac parte în calitate de membri reprezentanți ai finanțatorului, BRD, autorităților publice locale de nivel I și II din localitățile unde Centrele NEXUS își desfășoară activitatea, și în calitate de observatori CALM, IOM și UNDP/</w:t>
      </w:r>
      <w:proofErr w:type="spellStart"/>
      <w:r w:rsidRPr="00372D4F">
        <w:rPr>
          <w:rFonts w:ascii="Calibri" w:hAnsi="Calibri"/>
          <w:szCs w:val="24"/>
          <w:lang w:val="ro-RO"/>
        </w:rPr>
        <w:t>MiDL</w:t>
      </w:r>
      <w:proofErr w:type="spellEnd"/>
      <w:r w:rsidRPr="00372D4F">
        <w:rPr>
          <w:rFonts w:ascii="Calibri" w:hAnsi="Calibri"/>
          <w:szCs w:val="24"/>
          <w:lang w:val="ro-RO"/>
        </w:rPr>
        <w:t>. Ședințele consiliului au loc semestrial.</w:t>
      </w:r>
    </w:p>
    <w:p w:rsidR="00F466A3" w:rsidRPr="00372D4F" w:rsidRDefault="00F466A3" w:rsidP="00F466A3">
      <w:pPr>
        <w:pStyle w:val="NormalWeb"/>
        <w:numPr>
          <w:ilvl w:val="0"/>
          <w:numId w:val="1"/>
        </w:numPr>
        <w:spacing w:beforeLines="0" w:before="60" w:afterLines="0" w:after="60"/>
        <w:ind w:left="0"/>
        <w:jc w:val="both"/>
        <w:rPr>
          <w:rFonts w:ascii="Calibri" w:hAnsi="Calibri"/>
          <w:szCs w:val="24"/>
          <w:lang w:val="ro-RO"/>
        </w:rPr>
      </w:pPr>
      <w:r w:rsidRPr="00372D4F">
        <w:rPr>
          <w:rFonts w:ascii="Calibri" w:hAnsi="Calibri"/>
          <w:szCs w:val="24"/>
          <w:lang w:val="ro-RO"/>
        </w:rPr>
        <w:t>Comasarea, în cele trei raioane pilot (</w:t>
      </w:r>
      <w:proofErr w:type="spellStart"/>
      <w:r w:rsidRPr="00372D4F">
        <w:rPr>
          <w:rFonts w:ascii="Calibri" w:hAnsi="Calibri"/>
          <w:szCs w:val="24"/>
          <w:lang w:val="ro-RO"/>
        </w:rPr>
        <w:t>Edineț</w:t>
      </w:r>
      <w:proofErr w:type="spellEnd"/>
      <w:r w:rsidRPr="00372D4F">
        <w:rPr>
          <w:rFonts w:ascii="Calibri" w:hAnsi="Calibri"/>
          <w:szCs w:val="24"/>
          <w:lang w:val="ro-RO"/>
        </w:rPr>
        <w:t>, Ungheni și Cahul), Consiliilor Consultative Locale (din care fac parte partenerii locali și liderii comunității) și Cluburilor Economice Consultative (din care fac parte reprezentanți ai mediului de afaceri local) și crearea, în baza lor a Consiliilor Consultative NEXUS locale din care fac parte atât reprezentanți ai autorităților locale, cât și ai sectorului privat și ai societății civile.</w:t>
      </w:r>
    </w:p>
    <w:p w:rsidR="00F466A3" w:rsidRPr="00372D4F" w:rsidRDefault="00F466A3" w:rsidP="00F466A3">
      <w:pPr>
        <w:pStyle w:val="NormalWeb"/>
        <w:numPr>
          <w:ilvl w:val="0"/>
          <w:numId w:val="1"/>
        </w:numPr>
        <w:spacing w:beforeLines="0" w:before="60" w:afterLines="0" w:after="60"/>
        <w:ind w:left="0"/>
        <w:jc w:val="both"/>
        <w:rPr>
          <w:rFonts w:ascii="Calibri" w:hAnsi="Calibri"/>
          <w:szCs w:val="24"/>
          <w:lang w:val="ro-RO"/>
        </w:rPr>
      </w:pPr>
      <w:r w:rsidRPr="00372D4F">
        <w:rPr>
          <w:rFonts w:ascii="Calibri" w:hAnsi="Calibri"/>
          <w:szCs w:val="24"/>
          <w:lang w:val="ro-RO"/>
        </w:rPr>
        <w:t xml:space="preserve">Deschiderea a încă două Centre NEXUS, în colaborare cu autoritățile locale din Cimișlia și Rezina, la nivel de consiliu raional și primărie. Spațiul pentru desfășurarea activității centrelor a fost oferit de către primăriile orașelor. </w:t>
      </w:r>
    </w:p>
    <w:p w:rsidR="00F466A3" w:rsidRPr="00372D4F" w:rsidRDefault="00F466A3" w:rsidP="00F466A3">
      <w:pPr>
        <w:pStyle w:val="NormalWeb"/>
        <w:numPr>
          <w:ilvl w:val="0"/>
          <w:numId w:val="1"/>
        </w:numPr>
        <w:spacing w:beforeLines="0" w:before="60" w:afterLines="0" w:after="60"/>
        <w:ind w:left="0"/>
        <w:jc w:val="both"/>
        <w:rPr>
          <w:rFonts w:ascii="Calibri" w:hAnsi="Calibri"/>
          <w:szCs w:val="24"/>
          <w:lang w:val="ro-RO"/>
        </w:rPr>
      </w:pPr>
      <w:r w:rsidRPr="00372D4F">
        <w:rPr>
          <w:rFonts w:ascii="Calibri" w:hAnsi="Calibri"/>
          <w:szCs w:val="24"/>
          <w:lang w:val="ro-RO"/>
        </w:rPr>
        <w:t>Desfășurarea activității de către Centrul NEXUS satelit în Franța/Paris.</w:t>
      </w:r>
    </w:p>
    <w:p w:rsidR="00F466A3" w:rsidRPr="00372D4F" w:rsidRDefault="00F466A3" w:rsidP="00F466A3">
      <w:pPr>
        <w:pStyle w:val="NormalWeb"/>
        <w:numPr>
          <w:ilvl w:val="0"/>
          <w:numId w:val="1"/>
        </w:numPr>
        <w:spacing w:beforeLines="0" w:before="60" w:afterLines="0" w:after="60"/>
        <w:ind w:left="0"/>
        <w:jc w:val="both"/>
        <w:rPr>
          <w:rFonts w:ascii="Calibri" w:hAnsi="Calibri"/>
          <w:szCs w:val="24"/>
          <w:lang w:val="ro-RO"/>
        </w:rPr>
      </w:pPr>
      <w:r w:rsidRPr="00372D4F">
        <w:rPr>
          <w:rFonts w:ascii="Calibri" w:hAnsi="Calibri"/>
          <w:szCs w:val="24"/>
          <w:lang w:val="ro-RO"/>
        </w:rPr>
        <w:t>Înregistrarea a circa 2000 de clienți noi de către cele 7 centre. Acest număr reprezentă 50% din numărul de clienți preconizați pentru perioada 2016-2018.</w:t>
      </w:r>
    </w:p>
    <w:p w:rsidR="00F466A3" w:rsidRPr="00372D4F" w:rsidRDefault="00F466A3" w:rsidP="00F466A3">
      <w:pPr>
        <w:pStyle w:val="NormalWeb"/>
        <w:numPr>
          <w:ilvl w:val="0"/>
          <w:numId w:val="1"/>
        </w:numPr>
        <w:spacing w:beforeLines="0" w:before="60" w:afterLines="0" w:after="60"/>
        <w:ind w:left="0"/>
        <w:jc w:val="both"/>
        <w:rPr>
          <w:rFonts w:ascii="Calibri" w:hAnsi="Calibri"/>
          <w:szCs w:val="24"/>
          <w:lang w:val="ro-RO"/>
        </w:rPr>
      </w:pPr>
      <w:r>
        <w:rPr>
          <w:rFonts w:ascii="Calibri" w:hAnsi="Calibri"/>
          <w:szCs w:val="24"/>
          <w:lang w:val="ro-RO"/>
        </w:rPr>
        <w:t>Oferirea soluțiilor la</w:t>
      </w:r>
      <w:r w:rsidRPr="00372D4F">
        <w:rPr>
          <w:rFonts w:ascii="Calibri" w:hAnsi="Calibri"/>
          <w:szCs w:val="24"/>
          <w:lang w:val="ro-RO"/>
        </w:rPr>
        <w:t xml:space="preserve"> peste 2400 solicitări </w:t>
      </w:r>
      <w:r>
        <w:rPr>
          <w:rFonts w:ascii="Calibri" w:hAnsi="Calibri"/>
          <w:szCs w:val="24"/>
          <w:lang w:val="ro-RO"/>
        </w:rPr>
        <w:t xml:space="preserve">înregistrate </w:t>
      </w:r>
      <w:r w:rsidRPr="00372D4F">
        <w:rPr>
          <w:rFonts w:ascii="Calibri" w:hAnsi="Calibri"/>
          <w:szCs w:val="24"/>
          <w:lang w:val="ro-RO"/>
        </w:rPr>
        <w:t>din partea clienților NEXUS.</w:t>
      </w:r>
    </w:p>
    <w:p w:rsidR="00F466A3" w:rsidRPr="00372D4F" w:rsidRDefault="00F466A3" w:rsidP="00F466A3">
      <w:pPr>
        <w:pStyle w:val="NormalWeb"/>
        <w:numPr>
          <w:ilvl w:val="0"/>
          <w:numId w:val="1"/>
        </w:numPr>
        <w:spacing w:beforeLines="0" w:before="60" w:afterLines="0" w:after="60"/>
        <w:ind w:left="0"/>
        <w:jc w:val="both"/>
        <w:rPr>
          <w:rFonts w:ascii="Calibri" w:hAnsi="Calibri"/>
          <w:szCs w:val="24"/>
          <w:lang w:val="ro-RO"/>
        </w:rPr>
      </w:pPr>
      <w:r w:rsidRPr="00372D4F">
        <w:rPr>
          <w:rFonts w:ascii="Calibri" w:hAnsi="Calibri"/>
          <w:szCs w:val="24"/>
          <w:lang w:val="ro-RO"/>
        </w:rPr>
        <w:t>165 de apariții în presa scrisă și online, atât la nivel național, cât și local.</w:t>
      </w:r>
    </w:p>
    <w:p w:rsidR="00F466A3" w:rsidRPr="00372D4F" w:rsidRDefault="00F466A3" w:rsidP="00F466A3">
      <w:pPr>
        <w:pStyle w:val="NormalWeb"/>
        <w:numPr>
          <w:ilvl w:val="0"/>
          <w:numId w:val="1"/>
        </w:numPr>
        <w:spacing w:beforeLines="0" w:before="60" w:afterLines="0" w:after="60"/>
        <w:ind w:left="0"/>
        <w:jc w:val="both"/>
        <w:rPr>
          <w:rFonts w:ascii="Calibri" w:hAnsi="Calibri"/>
          <w:szCs w:val="24"/>
          <w:lang w:val="ro-RO"/>
        </w:rPr>
      </w:pPr>
      <w:r w:rsidRPr="00372D4F">
        <w:rPr>
          <w:rFonts w:ascii="Calibri" w:hAnsi="Calibri"/>
          <w:szCs w:val="24"/>
          <w:lang w:val="ro-RO"/>
        </w:rPr>
        <w:lastRenderedPageBreak/>
        <w:t>Stabilirea a 56 contacte noi cu APL-urile din raioanele învecinate</w:t>
      </w:r>
      <w:r>
        <w:rPr>
          <w:rFonts w:ascii="Calibri" w:hAnsi="Calibri"/>
          <w:szCs w:val="24"/>
          <w:lang w:val="ro-RO"/>
        </w:rPr>
        <w:t>, unele localități fiind interesate în crearea centrelor mobile NEXUS.</w:t>
      </w:r>
    </w:p>
    <w:p w:rsidR="00F466A3" w:rsidRPr="00372D4F" w:rsidRDefault="00F466A3" w:rsidP="00F466A3">
      <w:pPr>
        <w:pStyle w:val="NormalWeb"/>
        <w:numPr>
          <w:ilvl w:val="0"/>
          <w:numId w:val="1"/>
        </w:numPr>
        <w:spacing w:beforeLines="0" w:before="60" w:afterLines="0" w:after="60"/>
        <w:ind w:left="0"/>
        <w:jc w:val="both"/>
        <w:rPr>
          <w:rFonts w:ascii="Calibri" w:hAnsi="Calibri"/>
          <w:szCs w:val="24"/>
          <w:lang w:val="ro-RO"/>
        </w:rPr>
      </w:pPr>
      <w:r w:rsidRPr="00372D4F">
        <w:rPr>
          <w:rFonts w:ascii="Calibri" w:hAnsi="Calibri"/>
          <w:szCs w:val="24"/>
          <w:lang w:val="ro-RO"/>
        </w:rPr>
        <w:t>Organizarea a 212 de activități la nivel local cu peste 17000 persoane informate în domeniul migrației și dezvoltării.</w:t>
      </w:r>
    </w:p>
    <w:p w:rsidR="00F466A3" w:rsidRPr="00F466A3" w:rsidRDefault="00F466A3" w:rsidP="00F466A3">
      <w:pPr>
        <w:pStyle w:val="NormalWeb"/>
        <w:numPr>
          <w:ilvl w:val="0"/>
          <w:numId w:val="1"/>
        </w:numPr>
        <w:spacing w:beforeLines="0" w:before="60" w:afterLines="0" w:after="60"/>
        <w:ind w:left="0"/>
        <w:rPr>
          <w:rFonts w:ascii="Calibri" w:hAnsi="Calibri"/>
          <w:szCs w:val="24"/>
          <w:lang w:val="ro-RO"/>
        </w:rPr>
      </w:pPr>
      <w:r w:rsidRPr="00372D4F">
        <w:rPr>
          <w:rFonts w:ascii="Calibri" w:hAnsi="Calibri"/>
          <w:szCs w:val="24"/>
          <w:lang w:val="ro-RO"/>
        </w:rPr>
        <w:t>Lansarea serviciilor de valoare adăugată contra cost pentru clienți, prestate de consultanții NEXUS.</w:t>
      </w:r>
    </w:p>
    <w:p w:rsidR="00F466A3" w:rsidRPr="00F92B84" w:rsidRDefault="00F466A3" w:rsidP="00F466A3">
      <w:pPr>
        <w:pStyle w:val="NormalWeb"/>
        <w:numPr>
          <w:ilvl w:val="0"/>
          <w:numId w:val="1"/>
        </w:numPr>
        <w:spacing w:beforeLines="0" w:before="60" w:afterLines="0" w:after="60"/>
        <w:ind w:left="0"/>
        <w:jc w:val="both"/>
        <w:rPr>
          <w:rFonts w:ascii="Calibri" w:hAnsi="Calibri"/>
          <w:szCs w:val="24"/>
          <w:lang w:val="ro-RO"/>
        </w:rPr>
      </w:pPr>
      <w:r w:rsidRPr="00F92B84">
        <w:rPr>
          <w:rFonts w:ascii="Calibri" w:hAnsi="Calibri"/>
          <w:szCs w:val="24"/>
          <w:lang w:val="ro-RO"/>
        </w:rPr>
        <w:t xml:space="preserve">Stabilirea mecanismului comercial pentru dezvoltarea de parteneriate cu sectorul privat și asociativ pentru prestarea de servicii de calitate </w:t>
      </w:r>
      <w:proofErr w:type="spellStart"/>
      <w:r w:rsidRPr="00F92B84">
        <w:rPr>
          <w:rFonts w:ascii="Calibri" w:hAnsi="Calibri"/>
          <w:szCs w:val="24"/>
          <w:lang w:val="ro-RO"/>
        </w:rPr>
        <w:t>migranților</w:t>
      </w:r>
      <w:proofErr w:type="spellEnd"/>
      <w:r w:rsidRPr="00F92B84">
        <w:rPr>
          <w:rFonts w:ascii="Calibri" w:hAnsi="Calibri"/>
          <w:szCs w:val="24"/>
          <w:lang w:val="ro-RO"/>
        </w:rPr>
        <w:t xml:space="preserve"> și familiilor acestora.</w:t>
      </w:r>
    </w:p>
    <w:p w:rsidR="00F466A3" w:rsidRDefault="00F466A3" w:rsidP="00F466A3">
      <w:pPr>
        <w:pStyle w:val="NormalWeb"/>
        <w:numPr>
          <w:ilvl w:val="0"/>
          <w:numId w:val="1"/>
        </w:numPr>
        <w:spacing w:beforeLines="0" w:before="60" w:afterLines="0" w:after="60"/>
        <w:ind w:left="0"/>
        <w:jc w:val="both"/>
        <w:rPr>
          <w:rFonts w:ascii="Calibri" w:hAnsi="Calibri"/>
          <w:szCs w:val="24"/>
          <w:lang w:val="ro-RO"/>
        </w:rPr>
      </w:pPr>
      <w:r>
        <w:rPr>
          <w:rFonts w:ascii="Calibri" w:hAnsi="Calibri"/>
          <w:szCs w:val="24"/>
          <w:lang w:val="ro-RO"/>
        </w:rPr>
        <w:t>Informarea despre situația migrației în Moldova și activitatea NEXUS cu ocazia vizitelor delegațiilor internaționale la Centrele NEXUS (Germania, Elveția, Armenia, OSCE etc.).</w:t>
      </w:r>
    </w:p>
    <w:p w:rsidR="00F466A3" w:rsidRDefault="00F466A3" w:rsidP="00F466A3">
      <w:pPr>
        <w:pStyle w:val="NormalWeb"/>
        <w:numPr>
          <w:ilvl w:val="0"/>
          <w:numId w:val="1"/>
        </w:numPr>
        <w:spacing w:beforeLines="0" w:before="60" w:afterLines="0" w:after="60"/>
        <w:ind w:left="0"/>
        <w:jc w:val="both"/>
        <w:rPr>
          <w:rFonts w:ascii="Calibri" w:hAnsi="Calibri"/>
          <w:szCs w:val="24"/>
          <w:lang w:val="ro-RO"/>
        </w:rPr>
      </w:pPr>
      <w:r>
        <w:rPr>
          <w:rFonts w:ascii="Calibri" w:hAnsi="Calibri"/>
          <w:szCs w:val="24"/>
          <w:lang w:val="ro-RO"/>
        </w:rPr>
        <w:t>Participarea IASCI NEXUS la ședința Mecanismului de Afaceri al Forumului Global pentru Migrație și Dezvoltare (GFMD) în New York și la ședința summit-ului GFMD din decembrie 2016 în Dhaka, în calitate de membru al delegației oficiale a Moldovei.</w:t>
      </w:r>
    </w:p>
    <w:p w:rsidR="00F466A3" w:rsidRPr="00372D4F" w:rsidRDefault="00F466A3" w:rsidP="00F466A3">
      <w:pPr>
        <w:pStyle w:val="NormalWeb"/>
        <w:numPr>
          <w:ilvl w:val="0"/>
          <w:numId w:val="1"/>
        </w:numPr>
        <w:spacing w:beforeLines="0" w:before="60" w:afterLines="0" w:after="60"/>
        <w:ind w:left="0"/>
        <w:jc w:val="both"/>
        <w:rPr>
          <w:rFonts w:ascii="Calibri" w:hAnsi="Calibri"/>
          <w:szCs w:val="24"/>
          <w:lang w:val="ro-RO"/>
        </w:rPr>
      </w:pPr>
      <w:r>
        <w:rPr>
          <w:rFonts w:ascii="Calibri" w:hAnsi="Calibri"/>
          <w:szCs w:val="24"/>
          <w:lang w:val="ro-RO"/>
        </w:rPr>
        <w:t>Implicarea în calitate de membru fondator al Agenției pentru Democrație Locală în Moldova.</w:t>
      </w:r>
    </w:p>
    <w:p w:rsidR="00D30FB0" w:rsidRPr="00F466A3" w:rsidRDefault="00D30FB0" w:rsidP="00D30FB0">
      <w:pPr>
        <w:jc w:val="both"/>
        <w:rPr>
          <w:sz w:val="18"/>
          <w:szCs w:val="18"/>
          <w:lang w:val="es-ES"/>
        </w:rPr>
      </w:pPr>
    </w:p>
    <w:p w:rsidR="00D30FB0" w:rsidRPr="00DB0388" w:rsidRDefault="00D30FB0" w:rsidP="00D30FB0">
      <w:pPr>
        <w:jc w:val="both"/>
        <w:rPr>
          <w:b/>
          <w:color w:val="2E74B5" w:themeColor="accent5" w:themeShade="BF"/>
          <w:u w:val="single"/>
        </w:rPr>
      </w:pPr>
      <w:proofErr w:type="spellStart"/>
      <w:r w:rsidRPr="00DB0388">
        <w:rPr>
          <w:b/>
          <w:color w:val="2E74B5" w:themeColor="accent5" w:themeShade="BF"/>
          <w:u w:val="single"/>
        </w:rPr>
        <w:t>Activități</w:t>
      </w:r>
      <w:proofErr w:type="spellEnd"/>
      <w:r w:rsidRPr="00DB0388">
        <w:rPr>
          <w:b/>
          <w:color w:val="2E74B5" w:themeColor="accent5" w:themeShade="BF"/>
          <w:u w:val="single"/>
        </w:rPr>
        <w:t xml:space="preserve"> </w:t>
      </w:r>
      <w:proofErr w:type="spellStart"/>
      <w:r w:rsidRPr="00DB0388">
        <w:rPr>
          <w:b/>
          <w:color w:val="2E74B5" w:themeColor="accent5" w:themeShade="BF"/>
          <w:u w:val="single"/>
        </w:rPr>
        <w:t>planificate</w:t>
      </w:r>
      <w:proofErr w:type="spellEnd"/>
      <w:r>
        <w:rPr>
          <w:b/>
          <w:color w:val="2E74B5" w:themeColor="accent5" w:themeShade="BF"/>
          <w:u w:val="single"/>
        </w:rPr>
        <w:t xml:space="preserve"> </w:t>
      </w:r>
      <w:proofErr w:type="spellStart"/>
      <w:r>
        <w:rPr>
          <w:b/>
          <w:color w:val="2E74B5" w:themeColor="accent5" w:themeShade="BF"/>
          <w:u w:val="single"/>
        </w:rPr>
        <w:t>pentru</w:t>
      </w:r>
      <w:proofErr w:type="spellEnd"/>
      <w:r>
        <w:rPr>
          <w:b/>
          <w:color w:val="2E74B5" w:themeColor="accent5" w:themeShade="BF"/>
          <w:u w:val="single"/>
        </w:rPr>
        <w:t xml:space="preserve"> </w:t>
      </w:r>
      <w:proofErr w:type="spellStart"/>
      <w:r>
        <w:rPr>
          <w:b/>
          <w:color w:val="2E74B5" w:themeColor="accent5" w:themeShade="BF"/>
          <w:u w:val="single"/>
        </w:rPr>
        <w:t>următoarele</w:t>
      </w:r>
      <w:proofErr w:type="spellEnd"/>
      <w:r>
        <w:rPr>
          <w:b/>
          <w:color w:val="2E74B5" w:themeColor="accent5" w:themeShade="BF"/>
          <w:u w:val="single"/>
        </w:rPr>
        <w:t xml:space="preserve"> 6 </w:t>
      </w:r>
      <w:proofErr w:type="spellStart"/>
      <w:r>
        <w:rPr>
          <w:b/>
          <w:color w:val="2E74B5" w:themeColor="accent5" w:themeShade="BF"/>
          <w:u w:val="single"/>
        </w:rPr>
        <w:t>luni</w:t>
      </w:r>
      <w:proofErr w:type="spellEnd"/>
      <w:r w:rsidRPr="00DB0388">
        <w:rPr>
          <w:b/>
          <w:color w:val="2E74B5" w:themeColor="accent5" w:themeShade="BF"/>
          <w:u w:val="single"/>
        </w:rPr>
        <w:t>:</w:t>
      </w:r>
    </w:p>
    <w:p w:rsidR="00F466A3" w:rsidRPr="00372D4F" w:rsidRDefault="00F466A3" w:rsidP="00F466A3">
      <w:pPr>
        <w:pStyle w:val="NormalWeb"/>
        <w:numPr>
          <w:ilvl w:val="0"/>
          <w:numId w:val="2"/>
        </w:numPr>
        <w:spacing w:beforeLines="0" w:before="60" w:afterLines="0" w:after="60"/>
        <w:ind w:left="0"/>
        <w:jc w:val="both"/>
        <w:rPr>
          <w:rFonts w:ascii="Calibri" w:hAnsi="Calibri"/>
          <w:szCs w:val="24"/>
          <w:lang w:val="ro-RO"/>
        </w:rPr>
      </w:pPr>
      <w:r w:rsidRPr="00372D4F">
        <w:rPr>
          <w:rFonts w:ascii="Calibri" w:hAnsi="Calibri"/>
          <w:szCs w:val="24"/>
          <w:lang w:val="ro-RO"/>
        </w:rPr>
        <w:t>Continuarea extinderea activității Centrelor NEXUS în raioanele învecinate centrelor pentru a asigura acoperirea națională cu suportul CALM</w:t>
      </w:r>
      <w:r>
        <w:rPr>
          <w:rFonts w:ascii="Calibri" w:hAnsi="Calibri"/>
          <w:szCs w:val="24"/>
          <w:lang w:val="ro-RO"/>
        </w:rPr>
        <w:t>.</w:t>
      </w:r>
    </w:p>
    <w:p w:rsidR="00F466A3" w:rsidRPr="00372D4F" w:rsidRDefault="00F466A3" w:rsidP="00F466A3">
      <w:pPr>
        <w:pStyle w:val="NormalWeb"/>
        <w:numPr>
          <w:ilvl w:val="0"/>
          <w:numId w:val="2"/>
        </w:numPr>
        <w:spacing w:beforeLines="0" w:before="60" w:afterLines="0" w:after="60"/>
        <w:ind w:left="0"/>
        <w:jc w:val="both"/>
        <w:rPr>
          <w:rFonts w:ascii="Calibri" w:hAnsi="Calibri"/>
          <w:szCs w:val="24"/>
          <w:lang w:val="ro-RO"/>
        </w:rPr>
      </w:pPr>
      <w:r w:rsidRPr="00372D4F">
        <w:rPr>
          <w:rFonts w:ascii="Calibri" w:hAnsi="Calibri"/>
          <w:szCs w:val="24"/>
          <w:lang w:val="ro-RO"/>
        </w:rPr>
        <w:t>Încheierea parteneriatelor pe bază comercială cu sectorul privat, la nivel național și local</w:t>
      </w:r>
      <w:r>
        <w:rPr>
          <w:rFonts w:ascii="Calibri" w:hAnsi="Calibri"/>
          <w:szCs w:val="24"/>
          <w:lang w:val="ro-RO"/>
        </w:rPr>
        <w:t>.</w:t>
      </w:r>
    </w:p>
    <w:p w:rsidR="00F466A3" w:rsidRPr="00372D4F" w:rsidRDefault="00F466A3" w:rsidP="00F466A3">
      <w:pPr>
        <w:pStyle w:val="NormalWeb"/>
        <w:numPr>
          <w:ilvl w:val="0"/>
          <w:numId w:val="2"/>
        </w:numPr>
        <w:spacing w:beforeLines="0" w:before="60" w:afterLines="0" w:after="60"/>
        <w:ind w:left="0"/>
        <w:jc w:val="both"/>
        <w:rPr>
          <w:rFonts w:ascii="Calibri" w:hAnsi="Calibri"/>
          <w:szCs w:val="24"/>
          <w:lang w:val="ro-RO"/>
        </w:rPr>
      </w:pPr>
      <w:r w:rsidRPr="00372D4F">
        <w:rPr>
          <w:rFonts w:ascii="Calibri" w:hAnsi="Calibri"/>
          <w:szCs w:val="24"/>
          <w:lang w:val="ro-RO"/>
        </w:rPr>
        <w:t>Cooperarea cu angajatori/companii de recrutare/sindicate din străinătate în vederea promovării locurilor de muncă sigure pentru moldoveni</w:t>
      </w:r>
      <w:r>
        <w:rPr>
          <w:rFonts w:ascii="Calibri" w:hAnsi="Calibri"/>
          <w:szCs w:val="24"/>
          <w:lang w:val="ro-RO"/>
        </w:rPr>
        <w:t>.</w:t>
      </w:r>
    </w:p>
    <w:p w:rsidR="00F466A3" w:rsidRPr="00372D4F" w:rsidRDefault="00F466A3" w:rsidP="00F466A3">
      <w:pPr>
        <w:pStyle w:val="NormalWeb"/>
        <w:numPr>
          <w:ilvl w:val="0"/>
          <w:numId w:val="2"/>
        </w:numPr>
        <w:spacing w:beforeLines="0" w:before="60" w:afterLines="0" w:after="60"/>
        <w:ind w:left="0"/>
        <w:jc w:val="both"/>
        <w:rPr>
          <w:rFonts w:ascii="Calibri" w:hAnsi="Calibri"/>
          <w:szCs w:val="24"/>
          <w:lang w:val="ro-RO"/>
        </w:rPr>
      </w:pPr>
      <w:r w:rsidRPr="00372D4F">
        <w:rPr>
          <w:rFonts w:ascii="Calibri" w:hAnsi="Calibri"/>
          <w:szCs w:val="24"/>
          <w:lang w:val="ro-RO"/>
        </w:rPr>
        <w:t xml:space="preserve">Cooperarea cu zonele economice libere, companii străine din Moldova în vederea promovării locurilor de muncă în țară pentru </w:t>
      </w:r>
      <w:proofErr w:type="spellStart"/>
      <w:r w:rsidRPr="00372D4F">
        <w:rPr>
          <w:rFonts w:ascii="Calibri" w:hAnsi="Calibri"/>
          <w:szCs w:val="24"/>
          <w:lang w:val="ro-RO"/>
        </w:rPr>
        <w:t>migranți</w:t>
      </w:r>
      <w:proofErr w:type="spellEnd"/>
      <w:r w:rsidRPr="00372D4F">
        <w:rPr>
          <w:rFonts w:ascii="Calibri" w:hAnsi="Calibri"/>
          <w:szCs w:val="24"/>
          <w:lang w:val="ro-RO"/>
        </w:rPr>
        <w:t xml:space="preserve"> moldoveni reveniți</w:t>
      </w:r>
      <w:r>
        <w:rPr>
          <w:rFonts w:ascii="Calibri" w:hAnsi="Calibri"/>
          <w:szCs w:val="24"/>
          <w:lang w:val="ro-RO"/>
        </w:rPr>
        <w:t>.</w:t>
      </w:r>
    </w:p>
    <w:p w:rsidR="00F466A3" w:rsidRPr="00372D4F" w:rsidRDefault="00F466A3" w:rsidP="00F466A3">
      <w:pPr>
        <w:pStyle w:val="NormalWeb"/>
        <w:numPr>
          <w:ilvl w:val="0"/>
          <w:numId w:val="2"/>
        </w:numPr>
        <w:spacing w:beforeLines="0" w:before="60" w:afterLines="0" w:after="60"/>
        <w:ind w:left="0"/>
        <w:jc w:val="both"/>
        <w:rPr>
          <w:rFonts w:ascii="Calibri" w:hAnsi="Calibri"/>
          <w:szCs w:val="24"/>
          <w:lang w:val="ro-RO"/>
        </w:rPr>
      </w:pPr>
      <w:r w:rsidRPr="00372D4F">
        <w:rPr>
          <w:rFonts w:ascii="Calibri" w:hAnsi="Calibri"/>
          <w:szCs w:val="24"/>
          <w:lang w:val="ro-RO"/>
        </w:rPr>
        <w:t xml:space="preserve">Organizarea de activități locale în centre dedicate </w:t>
      </w:r>
      <w:proofErr w:type="spellStart"/>
      <w:r w:rsidRPr="00372D4F">
        <w:rPr>
          <w:rFonts w:ascii="Calibri" w:hAnsi="Calibri"/>
          <w:szCs w:val="24"/>
          <w:lang w:val="ro-RO"/>
        </w:rPr>
        <w:t>migranților</w:t>
      </w:r>
      <w:proofErr w:type="spellEnd"/>
      <w:r w:rsidRPr="00372D4F">
        <w:rPr>
          <w:rFonts w:ascii="Calibri" w:hAnsi="Calibri"/>
          <w:szCs w:val="24"/>
          <w:lang w:val="ro-RO"/>
        </w:rPr>
        <w:t xml:space="preserve"> și partenerilor</w:t>
      </w:r>
      <w:r>
        <w:rPr>
          <w:rFonts w:ascii="Calibri" w:hAnsi="Calibri"/>
          <w:szCs w:val="24"/>
          <w:lang w:val="ro-RO"/>
        </w:rPr>
        <w:t>.</w:t>
      </w:r>
    </w:p>
    <w:p w:rsidR="00F466A3" w:rsidRPr="00372D4F" w:rsidRDefault="00F466A3" w:rsidP="00F466A3">
      <w:pPr>
        <w:pStyle w:val="NormalWeb"/>
        <w:numPr>
          <w:ilvl w:val="0"/>
          <w:numId w:val="2"/>
        </w:numPr>
        <w:spacing w:beforeLines="0" w:before="60" w:afterLines="0" w:after="60"/>
        <w:ind w:left="0"/>
        <w:jc w:val="both"/>
        <w:rPr>
          <w:rFonts w:ascii="Calibri" w:hAnsi="Calibri"/>
          <w:szCs w:val="24"/>
          <w:lang w:val="ro-RO"/>
        </w:rPr>
      </w:pPr>
      <w:r w:rsidRPr="00372D4F">
        <w:rPr>
          <w:rFonts w:ascii="Calibri" w:hAnsi="Calibri"/>
          <w:szCs w:val="24"/>
          <w:lang w:val="ro-RO"/>
        </w:rPr>
        <w:t xml:space="preserve">Extinderea cooperării cu organizațiile </w:t>
      </w:r>
      <w:proofErr w:type="spellStart"/>
      <w:r w:rsidRPr="00372D4F">
        <w:rPr>
          <w:rFonts w:ascii="Calibri" w:hAnsi="Calibri"/>
          <w:szCs w:val="24"/>
          <w:lang w:val="ro-RO"/>
        </w:rPr>
        <w:t>diasporale</w:t>
      </w:r>
      <w:proofErr w:type="spellEnd"/>
      <w:r w:rsidRPr="00372D4F">
        <w:rPr>
          <w:rFonts w:ascii="Calibri" w:hAnsi="Calibri"/>
          <w:szCs w:val="24"/>
          <w:lang w:val="ro-RO"/>
        </w:rPr>
        <w:t xml:space="preserve"> și cu instituțiile consulare ale R</w:t>
      </w:r>
      <w:r>
        <w:rPr>
          <w:rFonts w:ascii="Calibri" w:hAnsi="Calibri"/>
          <w:szCs w:val="24"/>
          <w:lang w:val="ro-RO"/>
        </w:rPr>
        <w:t xml:space="preserve">epublicii </w:t>
      </w:r>
      <w:r w:rsidRPr="00372D4F">
        <w:rPr>
          <w:rFonts w:ascii="Calibri" w:hAnsi="Calibri"/>
          <w:szCs w:val="24"/>
          <w:lang w:val="ro-RO"/>
        </w:rPr>
        <w:t xml:space="preserve">Moldova pentru promovarea serviciilor NEXUS destinate </w:t>
      </w:r>
      <w:proofErr w:type="spellStart"/>
      <w:r w:rsidRPr="00372D4F">
        <w:rPr>
          <w:rFonts w:ascii="Calibri" w:hAnsi="Calibri"/>
          <w:szCs w:val="24"/>
          <w:lang w:val="ro-RO"/>
        </w:rPr>
        <w:t>migranților</w:t>
      </w:r>
      <w:proofErr w:type="spellEnd"/>
      <w:r w:rsidRPr="00372D4F">
        <w:rPr>
          <w:rFonts w:ascii="Calibri" w:hAnsi="Calibri"/>
          <w:szCs w:val="24"/>
          <w:lang w:val="ro-RO"/>
        </w:rPr>
        <w:t xml:space="preserve"> în țările de destinație</w:t>
      </w:r>
      <w:r>
        <w:rPr>
          <w:rFonts w:ascii="Calibri" w:hAnsi="Calibri"/>
          <w:szCs w:val="24"/>
          <w:lang w:val="ro-RO"/>
        </w:rPr>
        <w:t>.</w:t>
      </w:r>
    </w:p>
    <w:p w:rsidR="00D30FB0" w:rsidRDefault="00D30FB0">
      <w:pPr>
        <w:rPr>
          <w:lang w:val="ro-RO"/>
        </w:rPr>
      </w:pPr>
    </w:p>
    <w:p w:rsidR="00F466A3" w:rsidRDefault="00F466A3">
      <w:pPr>
        <w:rPr>
          <w:lang w:val="ro-RO"/>
        </w:rPr>
      </w:pPr>
    </w:p>
    <w:p w:rsidR="00F466A3" w:rsidRDefault="00F466A3">
      <w:pPr>
        <w:rPr>
          <w:lang w:val="ro-RO"/>
        </w:rPr>
      </w:pPr>
    </w:p>
    <w:p w:rsidR="00F466A3" w:rsidRDefault="00F466A3">
      <w:pPr>
        <w:rPr>
          <w:lang w:val="ro-RO"/>
        </w:rPr>
      </w:pPr>
    </w:p>
    <w:p w:rsidR="00F466A3" w:rsidRDefault="00F466A3" w:rsidP="00F466A3">
      <w:pPr>
        <w:tabs>
          <w:tab w:val="left" w:pos="3150"/>
        </w:tabs>
        <w:rPr>
          <w:lang w:val="ro-RO"/>
        </w:rPr>
      </w:pPr>
      <w:r>
        <w:rPr>
          <w:lang w:val="ro-RO"/>
        </w:rPr>
        <w:tab/>
      </w:r>
    </w:p>
    <w:p w:rsidR="00F466A3" w:rsidRDefault="00F466A3">
      <w:pPr>
        <w:rPr>
          <w:lang w:val="ro-RO"/>
        </w:rPr>
      </w:pPr>
    </w:p>
    <w:p w:rsidR="00F466A3" w:rsidRDefault="00F466A3">
      <w:pPr>
        <w:rPr>
          <w:lang w:val="ro-RO"/>
        </w:rPr>
      </w:pPr>
    </w:p>
    <w:p w:rsidR="00F466A3" w:rsidRDefault="00F466A3">
      <w:pPr>
        <w:rPr>
          <w:lang w:val="ro-RO"/>
        </w:rPr>
      </w:pPr>
    </w:p>
    <w:p w:rsidR="00F466A3" w:rsidRDefault="00F466A3">
      <w:pPr>
        <w:rPr>
          <w:lang w:val="ro-RO"/>
        </w:rPr>
      </w:pPr>
    </w:p>
    <w:p w:rsidR="00F466A3" w:rsidRDefault="00F466A3">
      <w:pPr>
        <w:rPr>
          <w:lang w:val="ro-RO"/>
        </w:rPr>
      </w:pPr>
      <w:r>
        <w:rPr>
          <w:lang w:val="ro-RO"/>
        </w:rPr>
        <w:t xml:space="preserve">                                                                                    </w:t>
      </w:r>
    </w:p>
    <w:p w:rsidR="00F466A3" w:rsidRDefault="00F466A3">
      <w:pPr>
        <w:rPr>
          <w:lang w:val="ro-RO"/>
        </w:rPr>
      </w:pPr>
    </w:p>
    <w:p w:rsidR="00F466A3" w:rsidRDefault="00F466A3">
      <w:pPr>
        <w:rPr>
          <w:lang w:val="ro-RO"/>
        </w:rPr>
      </w:pPr>
    </w:p>
    <w:p w:rsidR="00F466A3" w:rsidRPr="00F466A3" w:rsidRDefault="00B02D17">
      <w:pPr>
        <w:rPr>
          <w:lang w:val="ro-RO"/>
        </w:rPr>
      </w:pPr>
      <w:r>
        <w:rPr>
          <w:noProof/>
        </w:rPr>
        <w:drawing>
          <wp:anchor distT="0" distB="0" distL="114300" distR="114300" simplePos="0" relativeHeight="251664384" behindDoc="0" locked="0" layoutInCell="1" allowOverlap="1">
            <wp:simplePos x="0" y="0"/>
            <wp:positionH relativeFrom="margin">
              <wp:posOffset>4257675</wp:posOffset>
            </wp:positionH>
            <wp:positionV relativeFrom="paragraph">
              <wp:posOffset>63500</wp:posOffset>
            </wp:positionV>
            <wp:extent cx="2157573" cy="120785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xus.png"/>
                    <pic:cNvPicPr/>
                  </pic:nvPicPr>
                  <pic:blipFill>
                    <a:blip r:embed="rId11">
                      <a:extLst>
                        <a:ext uri="{BEBA8EAE-BF5A-486C-A8C5-ECC9F3942E4B}">
                          <a14:imgProps xmlns:a14="http://schemas.microsoft.com/office/drawing/2010/main">
                            <a14:imgLayer r:embed="rId12">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2157573" cy="1207858"/>
                    </a:xfrm>
                    <a:prstGeom prst="rect">
                      <a:avLst/>
                    </a:prstGeom>
                  </pic:spPr>
                </pic:pic>
              </a:graphicData>
            </a:graphic>
            <wp14:sizeRelH relativeFrom="page">
              <wp14:pctWidth>0</wp14:pctWidth>
            </wp14:sizeRelH>
            <wp14:sizeRelV relativeFrom="page">
              <wp14:pctHeight>0</wp14:pctHeight>
            </wp14:sizeRelV>
          </wp:anchor>
        </w:drawing>
      </w:r>
    </w:p>
    <w:sectPr w:rsidR="00F466A3" w:rsidRPr="00F466A3" w:rsidSect="00B630E4">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DB2149"/>
    <w:multiLevelType w:val="hybridMultilevel"/>
    <w:tmpl w:val="679C47B8"/>
    <w:lvl w:ilvl="0" w:tplc="04090005">
      <w:start w:val="1"/>
      <w:numFmt w:val="bullet"/>
      <w:lvlText w:val=""/>
      <w:lvlJc w:val="left"/>
      <w:pPr>
        <w:ind w:left="720" w:hanging="360"/>
      </w:pPr>
      <w:rPr>
        <w:rFonts w:ascii="Wingdings" w:hAnsi="Wingdings" w:hint="default"/>
        <w:b w:val="0"/>
        <w:i w:val="0"/>
        <w:color w:val="auto"/>
        <w:sz w:val="16"/>
        <w:szCs w:val="18"/>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F14C75"/>
    <w:multiLevelType w:val="hybridMultilevel"/>
    <w:tmpl w:val="A1A0034E"/>
    <w:lvl w:ilvl="0" w:tplc="04090005">
      <w:start w:val="1"/>
      <w:numFmt w:val="bullet"/>
      <w:lvlText w:val=""/>
      <w:lvlJc w:val="left"/>
      <w:pPr>
        <w:ind w:left="720" w:hanging="360"/>
      </w:pPr>
      <w:rPr>
        <w:rFonts w:ascii="Wingdings" w:hAnsi="Wingdings" w:hint="default"/>
        <w:b w:val="0"/>
        <w:i w:val="0"/>
        <w:color w:val="auto"/>
        <w:sz w:val="16"/>
        <w:szCs w:val="18"/>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E9B"/>
    <w:rsid w:val="0004111F"/>
    <w:rsid w:val="00061B72"/>
    <w:rsid w:val="00073682"/>
    <w:rsid w:val="00096DF1"/>
    <w:rsid w:val="00097206"/>
    <w:rsid w:val="00146DCC"/>
    <w:rsid w:val="0021277D"/>
    <w:rsid w:val="00256EBF"/>
    <w:rsid w:val="002A0CF8"/>
    <w:rsid w:val="002E73DE"/>
    <w:rsid w:val="002F5018"/>
    <w:rsid w:val="00386AA6"/>
    <w:rsid w:val="00395C17"/>
    <w:rsid w:val="003D27F9"/>
    <w:rsid w:val="003D2D88"/>
    <w:rsid w:val="003E32C4"/>
    <w:rsid w:val="003F0FB0"/>
    <w:rsid w:val="00454057"/>
    <w:rsid w:val="00476E66"/>
    <w:rsid w:val="004E0F2F"/>
    <w:rsid w:val="004F39B8"/>
    <w:rsid w:val="005857EA"/>
    <w:rsid w:val="006316BD"/>
    <w:rsid w:val="0072456B"/>
    <w:rsid w:val="00756CAF"/>
    <w:rsid w:val="00786824"/>
    <w:rsid w:val="007A54EC"/>
    <w:rsid w:val="00800964"/>
    <w:rsid w:val="00820B1B"/>
    <w:rsid w:val="00826AA3"/>
    <w:rsid w:val="008334CF"/>
    <w:rsid w:val="00954E6C"/>
    <w:rsid w:val="009B4DCA"/>
    <w:rsid w:val="00A95186"/>
    <w:rsid w:val="00AC6258"/>
    <w:rsid w:val="00AC6AA3"/>
    <w:rsid w:val="00B02D17"/>
    <w:rsid w:val="00B630E4"/>
    <w:rsid w:val="00BF2B70"/>
    <w:rsid w:val="00BF5CFD"/>
    <w:rsid w:val="00BF6D80"/>
    <w:rsid w:val="00C140E4"/>
    <w:rsid w:val="00C25E9B"/>
    <w:rsid w:val="00C30C60"/>
    <w:rsid w:val="00C56A46"/>
    <w:rsid w:val="00C73382"/>
    <w:rsid w:val="00CD79E8"/>
    <w:rsid w:val="00CF329E"/>
    <w:rsid w:val="00D30FB0"/>
    <w:rsid w:val="00D8181B"/>
    <w:rsid w:val="00DC4162"/>
    <w:rsid w:val="00E06E11"/>
    <w:rsid w:val="00E47423"/>
    <w:rsid w:val="00E515F0"/>
    <w:rsid w:val="00EA3031"/>
    <w:rsid w:val="00F048D4"/>
    <w:rsid w:val="00F149B7"/>
    <w:rsid w:val="00F466A3"/>
    <w:rsid w:val="00F6476E"/>
    <w:rsid w:val="00FF3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6DAD08-BC7B-49E9-836A-5211DCD26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32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30FB0"/>
    <w:pPr>
      <w:spacing w:after="0" w:line="240" w:lineRule="auto"/>
    </w:pPr>
    <w:rPr>
      <w:lang w:val="ro-RO"/>
    </w:rPr>
  </w:style>
  <w:style w:type="paragraph" w:styleId="NormalWeb">
    <w:name w:val="Normal (Web)"/>
    <w:basedOn w:val="Normal"/>
    <w:uiPriority w:val="99"/>
    <w:rsid w:val="00F466A3"/>
    <w:pPr>
      <w:spacing w:beforeLines="1" w:afterLines="1" w:after="0"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Mereacre</dc:creator>
  <cp:keywords/>
  <dc:description/>
  <cp:lastModifiedBy>Ana Mereacre</cp:lastModifiedBy>
  <cp:revision>7</cp:revision>
  <dcterms:created xsi:type="dcterms:W3CDTF">2017-01-25T13:32:00Z</dcterms:created>
  <dcterms:modified xsi:type="dcterms:W3CDTF">2017-01-25T15:36:00Z</dcterms:modified>
</cp:coreProperties>
</file>